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B4B" w:rsidRPr="004A1225" w:rsidRDefault="002D0572" w:rsidP="004A1225">
      <w:pPr>
        <w:pStyle w:val="Heading2"/>
      </w:pPr>
      <w:r w:rsidRPr="004A1225">
        <w:t>Shipping Special Quantities</w:t>
      </w:r>
    </w:p>
    <w:p w:rsidR="009947C5" w:rsidRPr="004A1225" w:rsidRDefault="009947C5" w:rsidP="004A1225">
      <w:pPr>
        <w:spacing w:after="120"/>
        <w:rPr>
          <w:b/>
          <w:color w:val="4E74A2" w:themeColor="accent6" w:themeShade="BF"/>
        </w:rPr>
      </w:pPr>
      <w:r w:rsidRPr="004A1225">
        <w:rPr>
          <w:b/>
          <w:color w:val="4E74A2" w:themeColor="accent6" w:themeShade="BF"/>
        </w:rPr>
        <w:t>Introduction</w:t>
      </w:r>
    </w:p>
    <w:p w:rsidR="009947C5" w:rsidRPr="00524DB0" w:rsidRDefault="009947C5" w:rsidP="004A1225">
      <w:r w:rsidRPr="00524DB0">
        <w:t xml:space="preserve">Very small amounts of certain dangerous goods can be shipped under a “special quantity” exception. This means that, depending on the amount being shipped, the package is exempt from many or all of the labeling, placarding, documentation, and packaging requirements that are normally </w:t>
      </w:r>
      <w:r w:rsidR="006A3953">
        <w:t>a</w:t>
      </w:r>
      <w:r w:rsidRPr="00524DB0">
        <w:t xml:space="preserve">ssociated with that material. Special quantity exceptions only apply to shipments of chemicals. </w:t>
      </w:r>
    </w:p>
    <w:p w:rsidR="00A00B27" w:rsidRPr="00524DB0" w:rsidRDefault="00A00B27" w:rsidP="004A1225"/>
    <w:p w:rsidR="009A7D54" w:rsidRPr="004A1225" w:rsidRDefault="004A1225" w:rsidP="004A1225">
      <w:pPr>
        <w:spacing w:after="120"/>
        <w:rPr>
          <w:b/>
          <w:color w:val="4E74A2" w:themeColor="accent6" w:themeShade="BF"/>
        </w:rPr>
      </w:pPr>
      <w:r>
        <w:rPr>
          <w:b/>
          <w:color w:val="4E74A2" w:themeColor="accent6" w:themeShade="BF"/>
        </w:rPr>
        <w:t>DOT/Ground T</w:t>
      </w:r>
      <w:r w:rsidRPr="004A1225">
        <w:rPr>
          <w:b/>
          <w:color w:val="4E74A2" w:themeColor="accent6" w:themeShade="BF"/>
        </w:rPr>
        <w:t>ransport</w:t>
      </w:r>
    </w:p>
    <w:p w:rsidR="0042179D" w:rsidRPr="00524DB0" w:rsidRDefault="007A6F93" w:rsidP="004A1225">
      <w:pPr>
        <w:spacing w:after="120"/>
        <w:rPr>
          <w:i/>
          <w:color w:val="595959" w:themeColor="text1" w:themeTint="A6"/>
        </w:rPr>
      </w:pPr>
      <w:r w:rsidRPr="00524DB0">
        <w:rPr>
          <w:i/>
          <w:color w:val="595959" w:themeColor="text1" w:themeTint="A6"/>
        </w:rPr>
        <w:t>De Minimis</w:t>
      </w:r>
      <w:r w:rsidR="003B6F40" w:rsidRPr="00524DB0">
        <w:rPr>
          <w:i/>
          <w:color w:val="595959" w:themeColor="text1" w:themeTint="A6"/>
        </w:rPr>
        <w:t xml:space="preserve"> </w:t>
      </w:r>
    </w:p>
    <w:p w:rsidR="009947C5" w:rsidRPr="00524DB0" w:rsidRDefault="009B5D4B" w:rsidP="004A1225">
      <w:r w:rsidRPr="00524DB0">
        <w:t xml:space="preserve">When </w:t>
      </w:r>
      <w:r w:rsidR="002B6DAA" w:rsidRPr="00524DB0">
        <w:t>shipping a hazardous material</w:t>
      </w:r>
      <w:r w:rsidRPr="00524DB0">
        <w:t xml:space="preserve"> using the following table</w:t>
      </w:r>
      <w:r w:rsidR="005A4D18">
        <w:t>,</w:t>
      </w:r>
      <w:r w:rsidRPr="00524DB0">
        <w:t xml:space="preserve"> </w:t>
      </w:r>
      <w:r w:rsidR="00773044" w:rsidRPr="00524DB0">
        <w:t xml:space="preserve">the </w:t>
      </w:r>
      <w:r w:rsidR="00A00B27" w:rsidRPr="00524DB0">
        <w:t>materials in packing group</w:t>
      </w:r>
      <w:r w:rsidR="005A4D18">
        <w:t>s</w:t>
      </w:r>
      <w:r w:rsidR="00A00B27" w:rsidRPr="00524DB0">
        <w:t xml:space="preserve"> II and III are not subject to other hazardous materials requirements.</w:t>
      </w:r>
      <w:r w:rsidR="00496B1C" w:rsidRPr="00524DB0">
        <w:t xml:space="preserve"> Use the following requirements to determine if your package can be shipped using the </w:t>
      </w:r>
      <w:r w:rsidR="00773044" w:rsidRPr="00524DB0">
        <w:t xml:space="preserve">de minimis </w:t>
      </w:r>
      <w:r w:rsidR="00496B1C" w:rsidRPr="00524DB0">
        <w:t xml:space="preserve">exemption. </w:t>
      </w:r>
    </w:p>
    <w:p w:rsidR="00496B1C" w:rsidRPr="00524DB0" w:rsidRDefault="00496B1C" w:rsidP="004A1225"/>
    <w:p w:rsidR="00496B1C" w:rsidRPr="00496B1C" w:rsidRDefault="00496B1C" w:rsidP="005A4D18">
      <w:pPr>
        <w:pStyle w:val="ListParagraph"/>
        <w:numPr>
          <w:ilvl w:val="0"/>
          <w:numId w:val="33"/>
        </w:numPr>
        <w:spacing w:after="120"/>
        <w:ind w:left="374" w:hanging="187"/>
        <w:contextualSpacing w:val="0"/>
      </w:pPr>
      <w:r>
        <w:t>The maximum quantity of material per inner receptacle is limited to</w:t>
      </w:r>
      <w:r w:rsidR="00943268">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1477"/>
        <w:gridCol w:w="3046"/>
        <w:gridCol w:w="1614"/>
      </w:tblGrid>
      <w:tr w:rsidR="00943268" w:rsidRPr="004A1225" w:rsidTr="00410336">
        <w:trPr>
          <w:trHeight w:val="432"/>
        </w:trPr>
        <w:tc>
          <w:tcPr>
            <w:tcW w:w="9360" w:type="dxa"/>
            <w:gridSpan w:val="4"/>
            <w:shd w:val="clear" w:color="auto" w:fill="F2F2F2" w:themeFill="background1" w:themeFillShade="F2"/>
            <w:noWrap/>
            <w:vAlign w:val="center"/>
          </w:tcPr>
          <w:p w:rsidR="00943268" w:rsidRPr="00524DB0" w:rsidRDefault="005A4D18" w:rsidP="00410336">
            <w:pPr>
              <w:spacing w:line="240" w:lineRule="auto"/>
              <w:jc w:val="center"/>
              <w:rPr>
                <w:rFonts w:ascii="Arial Narrow" w:hAnsi="Arial Narrow" w:cs="Calibri"/>
                <w:b/>
                <w:bCs/>
                <w:color w:val="000000"/>
                <w:sz w:val="20"/>
                <w:szCs w:val="20"/>
              </w:rPr>
            </w:pPr>
            <w:r>
              <w:rPr>
                <w:rFonts w:ascii="Arial Narrow" w:hAnsi="Arial Narrow" w:cs="Calibri"/>
                <w:b/>
                <w:bCs/>
                <w:color w:val="000000"/>
                <w:sz w:val="20"/>
                <w:szCs w:val="20"/>
              </w:rPr>
              <w:t>De Minimis Quantities</w:t>
            </w:r>
          </w:p>
        </w:tc>
      </w:tr>
      <w:tr w:rsidR="002B6DAA" w:rsidRPr="004A1225" w:rsidTr="00410336">
        <w:trPr>
          <w:trHeight w:val="432"/>
        </w:trPr>
        <w:tc>
          <w:tcPr>
            <w:tcW w:w="3223" w:type="dxa"/>
            <w:shd w:val="clear" w:color="auto" w:fill="E5EBF2" w:themeFill="accent6" w:themeFillTint="33"/>
            <w:noWrap/>
            <w:vAlign w:val="center"/>
            <w:hideMark/>
          </w:tcPr>
          <w:p w:rsidR="002B6DAA" w:rsidRPr="00524DB0" w:rsidRDefault="002B6DAA" w:rsidP="000F4F5B">
            <w:pPr>
              <w:spacing w:line="240" w:lineRule="auto"/>
              <w:jc w:val="center"/>
              <w:rPr>
                <w:rFonts w:ascii="Arial Narrow" w:hAnsi="Arial Narrow" w:cs="Calibri"/>
                <w:b/>
                <w:bCs/>
                <w:color w:val="000000"/>
                <w:sz w:val="20"/>
                <w:szCs w:val="20"/>
              </w:rPr>
            </w:pPr>
            <w:r w:rsidRPr="00524DB0">
              <w:rPr>
                <w:rFonts w:ascii="Arial Narrow" w:hAnsi="Arial Narrow" w:cs="Calibri"/>
                <w:b/>
                <w:bCs/>
                <w:color w:val="000000"/>
                <w:sz w:val="20"/>
                <w:szCs w:val="20"/>
              </w:rPr>
              <w:t>Class</w:t>
            </w:r>
          </w:p>
        </w:tc>
        <w:tc>
          <w:tcPr>
            <w:tcW w:w="1477" w:type="dxa"/>
            <w:shd w:val="clear" w:color="auto" w:fill="E5EBF2" w:themeFill="accent6" w:themeFillTint="33"/>
            <w:vAlign w:val="center"/>
            <w:hideMark/>
          </w:tcPr>
          <w:p w:rsidR="002B6DAA" w:rsidRPr="00524DB0" w:rsidRDefault="002B6DAA" w:rsidP="000F4F5B">
            <w:pPr>
              <w:spacing w:line="240" w:lineRule="auto"/>
              <w:jc w:val="center"/>
              <w:rPr>
                <w:rFonts w:ascii="Arial Narrow" w:hAnsi="Arial Narrow" w:cs="Calibri"/>
                <w:b/>
                <w:bCs/>
                <w:color w:val="000000"/>
                <w:sz w:val="20"/>
                <w:szCs w:val="20"/>
              </w:rPr>
            </w:pPr>
            <w:r w:rsidRPr="00524DB0">
              <w:rPr>
                <w:rFonts w:ascii="Arial Narrow" w:hAnsi="Arial Narrow" w:cs="Calibri"/>
                <w:b/>
                <w:bCs/>
                <w:color w:val="000000"/>
                <w:sz w:val="20"/>
                <w:szCs w:val="20"/>
              </w:rPr>
              <w:t>Division</w:t>
            </w:r>
          </w:p>
        </w:tc>
        <w:tc>
          <w:tcPr>
            <w:tcW w:w="3046" w:type="dxa"/>
            <w:shd w:val="clear" w:color="auto" w:fill="E5EBF2" w:themeFill="accent6" w:themeFillTint="33"/>
            <w:vAlign w:val="center"/>
            <w:hideMark/>
          </w:tcPr>
          <w:p w:rsidR="002B6DAA" w:rsidRPr="00524DB0" w:rsidRDefault="002B6DAA" w:rsidP="000F4F5B">
            <w:pPr>
              <w:spacing w:line="240" w:lineRule="auto"/>
              <w:jc w:val="center"/>
              <w:rPr>
                <w:rFonts w:ascii="Arial Narrow" w:hAnsi="Arial Narrow" w:cs="Calibri"/>
                <w:b/>
                <w:bCs/>
                <w:color w:val="000000"/>
                <w:sz w:val="20"/>
                <w:szCs w:val="20"/>
              </w:rPr>
            </w:pPr>
            <w:r w:rsidRPr="00524DB0">
              <w:rPr>
                <w:rFonts w:ascii="Arial Narrow" w:hAnsi="Arial Narrow" w:cs="Calibri"/>
                <w:b/>
                <w:bCs/>
                <w:color w:val="000000"/>
                <w:sz w:val="20"/>
                <w:szCs w:val="20"/>
              </w:rPr>
              <w:t xml:space="preserve">Quantity per Inner </w:t>
            </w:r>
            <w:r w:rsidR="00E54A01" w:rsidRPr="00524DB0">
              <w:rPr>
                <w:rFonts w:ascii="Arial Narrow" w:hAnsi="Arial Narrow" w:cs="Calibri"/>
                <w:b/>
                <w:bCs/>
                <w:color w:val="000000"/>
                <w:sz w:val="20"/>
                <w:szCs w:val="20"/>
              </w:rPr>
              <w:t>R</w:t>
            </w:r>
            <w:r w:rsidRPr="00524DB0">
              <w:rPr>
                <w:rFonts w:ascii="Arial Narrow" w:hAnsi="Arial Narrow" w:cs="Calibri"/>
                <w:b/>
                <w:bCs/>
                <w:color w:val="000000"/>
                <w:sz w:val="20"/>
                <w:szCs w:val="20"/>
              </w:rPr>
              <w:t>eceptacle</w:t>
            </w:r>
          </w:p>
        </w:tc>
        <w:tc>
          <w:tcPr>
            <w:tcW w:w="1614" w:type="dxa"/>
            <w:shd w:val="clear" w:color="auto" w:fill="E5EBF2" w:themeFill="accent6" w:themeFillTint="33"/>
            <w:vAlign w:val="center"/>
            <w:hideMark/>
          </w:tcPr>
          <w:p w:rsidR="002B6DAA" w:rsidRPr="00524DB0" w:rsidRDefault="002B6DAA" w:rsidP="000F4F5B">
            <w:pPr>
              <w:spacing w:line="240" w:lineRule="auto"/>
              <w:jc w:val="center"/>
              <w:rPr>
                <w:rFonts w:ascii="Arial Narrow" w:hAnsi="Arial Narrow" w:cs="Calibri"/>
                <w:b/>
                <w:bCs/>
                <w:color w:val="000000"/>
                <w:sz w:val="20"/>
                <w:szCs w:val="20"/>
              </w:rPr>
            </w:pPr>
            <w:r w:rsidRPr="00524DB0">
              <w:rPr>
                <w:rFonts w:ascii="Arial Narrow" w:hAnsi="Arial Narrow" w:cs="Calibri"/>
                <w:b/>
                <w:bCs/>
                <w:color w:val="000000"/>
                <w:sz w:val="20"/>
                <w:szCs w:val="20"/>
              </w:rPr>
              <w:t>Packing Group</w:t>
            </w:r>
          </w:p>
        </w:tc>
      </w:tr>
      <w:tr w:rsidR="002B6DAA" w:rsidRPr="004A1225" w:rsidTr="005A4D18">
        <w:trPr>
          <w:trHeight w:val="432"/>
        </w:trPr>
        <w:tc>
          <w:tcPr>
            <w:tcW w:w="3223" w:type="dxa"/>
            <w:shd w:val="clear" w:color="auto" w:fill="auto"/>
            <w:vAlign w:val="center"/>
            <w:hideMark/>
          </w:tcPr>
          <w:p w:rsidR="002B6DAA" w:rsidRPr="00524DB0" w:rsidRDefault="002B6DAA" w:rsidP="00E54A01">
            <w:pPr>
              <w:spacing w:line="240" w:lineRule="auto"/>
              <w:rPr>
                <w:rFonts w:ascii="Arial Narrow" w:hAnsi="Arial Narrow" w:cs="Calibri"/>
                <w:b/>
                <w:bCs/>
                <w:color w:val="000000"/>
                <w:sz w:val="20"/>
                <w:szCs w:val="20"/>
              </w:rPr>
            </w:pPr>
            <w:r w:rsidRPr="00524DB0">
              <w:rPr>
                <w:rFonts w:ascii="Arial Narrow" w:hAnsi="Arial Narrow" w:cs="Calibri"/>
                <w:b/>
                <w:bCs/>
                <w:color w:val="000000"/>
                <w:sz w:val="20"/>
                <w:szCs w:val="20"/>
              </w:rPr>
              <w:t>3</w:t>
            </w:r>
            <w:r w:rsidR="00E54A01" w:rsidRPr="00524DB0">
              <w:rPr>
                <w:rFonts w:ascii="Arial Narrow" w:hAnsi="Arial Narrow" w:cs="Calibri"/>
                <w:bCs/>
                <w:color w:val="000000"/>
                <w:sz w:val="20"/>
                <w:szCs w:val="20"/>
              </w:rPr>
              <w:t>—</w:t>
            </w:r>
            <w:r w:rsidRPr="00524DB0">
              <w:rPr>
                <w:rFonts w:ascii="Arial Narrow" w:hAnsi="Arial Narrow" w:cs="Calibri"/>
                <w:i/>
                <w:iCs/>
                <w:color w:val="000000"/>
                <w:sz w:val="20"/>
                <w:szCs w:val="20"/>
              </w:rPr>
              <w:t>Flammable Liquids</w:t>
            </w:r>
          </w:p>
        </w:tc>
        <w:tc>
          <w:tcPr>
            <w:tcW w:w="1477" w:type="dxa"/>
            <w:shd w:val="clear" w:color="auto" w:fill="auto"/>
            <w:vAlign w:val="center"/>
            <w:hideMark/>
          </w:tcPr>
          <w:p w:rsidR="002B6DAA" w:rsidRPr="00524DB0" w:rsidRDefault="002B6DAA" w:rsidP="000F4F5B">
            <w:pPr>
              <w:spacing w:line="240" w:lineRule="auto"/>
              <w:jc w:val="center"/>
              <w:rPr>
                <w:rFonts w:ascii="Arial Narrow" w:hAnsi="Arial Narrow" w:cs="Calibri"/>
                <w:color w:val="000000"/>
                <w:sz w:val="20"/>
                <w:szCs w:val="20"/>
              </w:rPr>
            </w:pPr>
            <w:r w:rsidRPr="00524DB0">
              <w:rPr>
                <w:rFonts w:ascii="Arial Narrow" w:hAnsi="Arial Narrow" w:cs="Calibri"/>
                <w:color w:val="000000"/>
                <w:sz w:val="20"/>
                <w:szCs w:val="20"/>
              </w:rPr>
              <w:t>3</w:t>
            </w:r>
          </w:p>
        </w:tc>
        <w:tc>
          <w:tcPr>
            <w:tcW w:w="3046" w:type="dxa"/>
            <w:shd w:val="clear" w:color="auto" w:fill="auto"/>
            <w:vAlign w:val="center"/>
            <w:hideMark/>
          </w:tcPr>
          <w:p w:rsidR="002B6DAA" w:rsidRPr="00524DB0" w:rsidRDefault="002B6DAA" w:rsidP="00A00B27">
            <w:pPr>
              <w:spacing w:line="240" w:lineRule="auto"/>
              <w:jc w:val="center"/>
              <w:rPr>
                <w:rFonts w:ascii="Arial Narrow" w:hAnsi="Arial Narrow" w:cs="Calibri"/>
                <w:color w:val="000000"/>
                <w:sz w:val="20"/>
                <w:szCs w:val="20"/>
              </w:rPr>
            </w:pPr>
            <w:r w:rsidRPr="00524DB0">
              <w:rPr>
                <w:rFonts w:ascii="Arial Narrow" w:hAnsi="Arial Narrow" w:cs="Calibri"/>
                <w:color w:val="000000"/>
                <w:sz w:val="20"/>
                <w:szCs w:val="20"/>
              </w:rPr>
              <w:t>1</w:t>
            </w:r>
            <w:r w:rsidR="00861B60">
              <w:rPr>
                <w:rFonts w:ascii="Arial Narrow" w:hAnsi="Arial Narrow" w:cs="Calibri"/>
                <w:color w:val="000000"/>
                <w:sz w:val="20"/>
                <w:szCs w:val="20"/>
              </w:rPr>
              <w:t xml:space="preserve"> </w:t>
            </w:r>
            <w:r w:rsidRPr="00524DB0">
              <w:rPr>
                <w:rFonts w:ascii="Arial Narrow" w:hAnsi="Arial Narrow" w:cs="Calibri"/>
                <w:color w:val="000000"/>
                <w:sz w:val="20"/>
                <w:szCs w:val="20"/>
              </w:rPr>
              <w:t>mL (0.03 ounce)</w:t>
            </w:r>
          </w:p>
        </w:tc>
        <w:tc>
          <w:tcPr>
            <w:tcW w:w="1614" w:type="dxa"/>
            <w:shd w:val="clear" w:color="auto" w:fill="auto"/>
            <w:vAlign w:val="center"/>
            <w:hideMark/>
          </w:tcPr>
          <w:p w:rsidR="002B6DAA" w:rsidRPr="00524DB0" w:rsidRDefault="002B6DAA" w:rsidP="000F4F5B">
            <w:pPr>
              <w:spacing w:line="240" w:lineRule="auto"/>
              <w:jc w:val="center"/>
              <w:rPr>
                <w:rFonts w:ascii="Arial Narrow" w:hAnsi="Arial Narrow" w:cs="Calibri"/>
                <w:color w:val="000000"/>
                <w:sz w:val="20"/>
                <w:szCs w:val="20"/>
              </w:rPr>
            </w:pPr>
            <w:r w:rsidRPr="00524DB0">
              <w:rPr>
                <w:rFonts w:ascii="Arial Narrow" w:hAnsi="Arial Narrow" w:cs="Calibri"/>
                <w:color w:val="000000"/>
                <w:sz w:val="20"/>
                <w:szCs w:val="20"/>
              </w:rPr>
              <w:t>II and III</w:t>
            </w:r>
          </w:p>
        </w:tc>
      </w:tr>
      <w:tr w:rsidR="002B6DAA" w:rsidRPr="004A1225" w:rsidTr="005A4D18">
        <w:trPr>
          <w:trHeight w:val="432"/>
        </w:trPr>
        <w:tc>
          <w:tcPr>
            <w:tcW w:w="3223" w:type="dxa"/>
            <w:shd w:val="clear" w:color="auto" w:fill="auto"/>
            <w:vAlign w:val="center"/>
            <w:hideMark/>
          </w:tcPr>
          <w:p w:rsidR="002B6DAA" w:rsidRPr="00524DB0" w:rsidRDefault="002B6DAA" w:rsidP="00E54A01">
            <w:pPr>
              <w:rPr>
                <w:rFonts w:ascii="Arial Narrow" w:hAnsi="Arial Narrow" w:cs="Calibri"/>
                <w:b/>
                <w:bCs/>
                <w:color w:val="000000"/>
                <w:sz w:val="20"/>
                <w:szCs w:val="20"/>
              </w:rPr>
            </w:pPr>
            <w:r w:rsidRPr="00524DB0">
              <w:rPr>
                <w:rFonts w:ascii="Arial Narrow" w:hAnsi="Arial Narrow" w:cs="Calibri"/>
                <w:b/>
                <w:bCs/>
                <w:color w:val="000000"/>
                <w:sz w:val="20"/>
                <w:szCs w:val="20"/>
              </w:rPr>
              <w:t>4</w:t>
            </w:r>
            <w:r w:rsidR="00E54A01" w:rsidRPr="00524DB0">
              <w:rPr>
                <w:rFonts w:ascii="Arial Narrow" w:hAnsi="Arial Narrow" w:cs="Calibri"/>
                <w:bCs/>
                <w:color w:val="000000"/>
                <w:sz w:val="20"/>
                <w:szCs w:val="20"/>
              </w:rPr>
              <w:t>—</w:t>
            </w:r>
            <w:r w:rsidRPr="00524DB0">
              <w:rPr>
                <w:rFonts w:ascii="Arial Narrow" w:hAnsi="Arial Narrow" w:cs="Calibri"/>
                <w:i/>
                <w:iCs/>
                <w:color w:val="000000"/>
                <w:sz w:val="20"/>
                <w:szCs w:val="20"/>
              </w:rPr>
              <w:t>Flammable Solids</w:t>
            </w:r>
          </w:p>
        </w:tc>
        <w:tc>
          <w:tcPr>
            <w:tcW w:w="1477" w:type="dxa"/>
            <w:shd w:val="clear" w:color="auto" w:fill="auto"/>
            <w:vAlign w:val="center"/>
            <w:hideMark/>
          </w:tcPr>
          <w:p w:rsidR="002B6DAA" w:rsidRPr="00524DB0" w:rsidRDefault="002B6DAA" w:rsidP="000F4F5B">
            <w:pPr>
              <w:spacing w:line="240" w:lineRule="auto"/>
              <w:jc w:val="center"/>
              <w:rPr>
                <w:rFonts w:ascii="Arial Narrow" w:hAnsi="Arial Narrow" w:cs="Calibri"/>
                <w:color w:val="000000"/>
                <w:sz w:val="20"/>
                <w:szCs w:val="20"/>
              </w:rPr>
            </w:pPr>
            <w:r w:rsidRPr="00524DB0">
              <w:rPr>
                <w:rFonts w:ascii="Arial Narrow" w:hAnsi="Arial Narrow" w:cs="Calibri"/>
                <w:color w:val="000000"/>
                <w:sz w:val="20"/>
                <w:szCs w:val="20"/>
              </w:rPr>
              <w:t>4.1</w:t>
            </w:r>
            <w:r w:rsidR="00E54A01" w:rsidRPr="00524DB0">
              <w:rPr>
                <w:rFonts w:ascii="Arial Narrow" w:hAnsi="Arial Narrow" w:cs="Calibri"/>
                <w:color w:val="000000"/>
                <w:sz w:val="20"/>
                <w:szCs w:val="20"/>
              </w:rPr>
              <w:t xml:space="preserve"> </w:t>
            </w:r>
            <w:r w:rsidRPr="00524DB0">
              <w:rPr>
                <w:rFonts w:ascii="Arial Narrow" w:hAnsi="Arial Narrow" w:cs="Calibri"/>
                <w:color w:val="000000"/>
                <w:sz w:val="20"/>
                <w:szCs w:val="20"/>
              </w:rPr>
              <w:t>/</w:t>
            </w:r>
            <w:r w:rsidR="00E54A01" w:rsidRPr="00524DB0">
              <w:rPr>
                <w:rFonts w:ascii="Arial Narrow" w:hAnsi="Arial Narrow" w:cs="Calibri"/>
                <w:color w:val="000000"/>
                <w:sz w:val="20"/>
                <w:szCs w:val="20"/>
              </w:rPr>
              <w:t xml:space="preserve"> </w:t>
            </w:r>
            <w:r w:rsidRPr="00524DB0">
              <w:rPr>
                <w:rFonts w:ascii="Arial Narrow" w:hAnsi="Arial Narrow" w:cs="Calibri"/>
                <w:color w:val="000000"/>
                <w:sz w:val="20"/>
                <w:szCs w:val="20"/>
              </w:rPr>
              <w:t>4.2</w:t>
            </w:r>
            <w:r w:rsidR="00E54A01" w:rsidRPr="00524DB0">
              <w:rPr>
                <w:rFonts w:ascii="Arial Narrow" w:hAnsi="Arial Narrow" w:cs="Calibri"/>
                <w:color w:val="000000"/>
                <w:sz w:val="20"/>
                <w:szCs w:val="20"/>
              </w:rPr>
              <w:t xml:space="preserve"> </w:t>
            </w:r>
            <w:r w:rsidRPr="00524DB0">
              <w:rPr>
                <w:rFonts w:ascii="Arial Narrow" w:hAnsi="Arial Narrow" w:cs="Calibri"/>
                <w:color w:val="000000"/>
                <w:sz w:val="20"/>
                <w:szCs w:val="20"/>
              </w:rPr>
              <w:t>/</w:t>
            </w:r>
            <w:r w:rsidR="00E54A01" w:rsidRPr="00524DB0">
              <w:rPr>
                <w:rFonts w:ascii="Arial Narrow" w:hAnsi="Arial Narrow" w:cs="Calibri"/>
                <w:color w:val="000000"/>
                <w:sz w:val="20"/>
                <w:szCs w:val="20"/>
              </w:rPr>
              <w:t xml:space="preserve"> </w:t>
            </w:r>
            <w:r w:rsidRPr="00524DB0">
              <w:rPr>
                <w:rFonts w:ascii="Arial Narrow" w:hAnsi="Arial Narrow" w:cs="Calibri"/>
                <w:color w:val="000000"/>
                <w:sz w:val="20"/>
                <w:szCs w:val="20"/>
              </w:rPr>
              <w:t>4.3</w:t>
            </w:r>
          </w:p>
        </w:tc>
        <w:tc>
          <w:tcPr>
            <w:tcW w:w="3046" w:type="dxa"/>
            <w:shd w:val="clear" w:color="auto" w:fill="auto"/>
            <w:vAlign w:val="center"/>
            <w:hideMark/>
          </w:tcPr>
          <w:p w:rsidR="002B6DAA" w:rsidRPr="00524DB0" w:rsidRDefault="002B6DAA" w:rsidP="00A00B27">
            <w:pPr>
              <w:spacing w:line="240" w:lineRule="auto"/>
              <w:jc w:val="center"/>
              <w:rPr>
                <w:rFonts w:ascii="Arial Narrow" w:hAnsi="Arial Narrow" w:cs="Calibri"/>
                <w:color w:val="000000"/>
                <w:sz w:val="20"/>
                <w:szCs w:val="20"/>
              </w:rPr>
            </w:pPr>
            <w:r w:rsidRPr="00524DB0">
              <w:rPr>
                <w:rFonts w:ascii="Arial Narrow" w:hAnsi="Arial Narrow" w:cs="Calibri"/>
                <w:color w:val="000000"/>
                <w:sz w:val="20"/>
                <w:szCs w:val="20"/>
              </w:rPr>
              <w:t>1</w:t>
            </w:r>
            <w:r w:rsidR="00861B60">
              <w:rPr>
                <w:rFonts w:ascii="Arial Narrow" w:hAnsi="Arial Narrow" w:cs="Calibri"/>
                <w:color w:val="000000"/>
                <w:sz w:val="20"/>
                <w:szCs w:val="20"/>
              </w:rPr>
              <w:t xml:space="preserve"> </w:t>
            </w:r>
            <w:r w:rsidRPr="00524DB0">
              <w:rPr>
                <w:rFonts w:ascii="Arial Narrow" w:hAnsi="Arial Narrow" w:cs="Calibri"/>
                <w:color w:val="000000"/>
                <w:sz w:val="20"/>
                <w:szCs w:val="20"/>
              </w:rPr>
              <w:t>g (0.04 ounce)</w:t>
            </w:r>
          </w:p>
        </w:tc>
        <w:tc>
          <w:tcPr>
            <w:tcW w:w="1614" w:type="dxa"/>
            <w:shd w:val="clear" w:color="auto" w:fill="auto"/>
            <w:vAlign w:val="center"/>
            <w:hideMark/>
          </w:tcPr>
          <w:p w:rsidR="002B6DAA" w:rsidRPr="00524DB0" w:rsidRDefault="002B6DAA" w:rsidP="000F4F5B">
            <w:pPr>
              <w:spacing w:line="240" w:lineRule="auto"/>
              <w:jc w:val="center"/>
              <w:rPr>
                <w:rFonts w:ascii="Arial Narrow" w:hAnsi="Arial Narrow" w:cs="Calibri"/>
                <w:color w:val="000000"/>
                <w:sz w:val="20"/>
                <w:szCs w:val="20"/>
              </w:rPr>
            </w:pPr>
            <w:r w:rsidRPr="00524DB0">
              <w:rPr>
                <w:rFonts w:ascii="Arial Narrow" w:hAnsi="Arial Narrow" w:cs="Calibri"/>
                <w:color w:val="000000"/>
                <w:sz w:val="20"/>
                <w:szCs w:val="20"/>
              </w:rPr>
              <w:t>II and III</w:t>
            </w:r>
          </w:p>
        </w:tc>
      </w:tr>
      <w:tr w:rsidR="002B6DAA" w:rsidRPr="004A1225" w:rsidTr="005A4D18">
        <w:trPr>
          <w:trHeight w:val="432"/>
        </w:trPr>
        <w:tc>
          <w:tcPr>
            <w:tcW w:w="3223" w:type="dxa"/>
            <w:shd w:val="clear" w:color="auto" w:fill="auto"/>
            <w:vAlign w:val="center"/>
            <w:hideMark/>
          </w:tcPr>
          <w:p w:rsidR="002B6DAA" w:rsidRPr="00524DB0" w:rsidRDefault="002B6DAA" w:rsidP="00E54A01">
            <w:pPr>
              <w:spacing w:line="240" w:lineRule="auto"/>
              <w:rPr>
                <w:rFonts w:ascii="Arial Narrow" w:hAnsi="Arial Narrow" w:cs="Calibri"/>
                <w:b/>
                <w:bCs/>
                <w:color w:val="000000"/>
                <w:sz w:val="20"/>
                <w:szCs w:val="20"/>
              </w:rPr>
            </w:pPr>
            <w:r w:rsidRPr="00524DB0">
              <w:rPr>
                <w:rFonts w:ascii="Arial Narrow" w:hAnsi="Arial Narrow" w:cs="Calibri"/>
                <w:b/>
                <w:bCs/>
                <w:color w:val="000000"/>
                <w:sz w:val="20"/>
                <w:szCs w:val="20"/>
              </w:rPr>
              <w:t>5</w:t>
            </w:r>
            <w:r w:rsidR="00E54A01" w:rsidRPr="00524DB0">
              <w:rPr>
                <w:rFonts w:ascii="Arial Narrow" w:hAnsi="Arial Narrow" w:cs="Calibri"/>
                <w:bCs/>
                <w:color w:val="000000"/>
                <w:sz w:val="20"/>
                <w:szCs w:val="20"/>
              </w:rPr>
              <w:t>—</w:t>
            </w:r>
            <w:r w:rsidRPr="00524DB0">
              <w:rPr>
                <w:rFonts w:ascii="Arial Narrow" w:hAnsi="Arial Narrow" w:cs="Calibri"/>
                <w:i/>
                <w:iCs/>
                <w:color w:val="000000"/>
                <w:sz w:val="20"/>
                <w:szCs w:val="20"/>
              </w:rPr>
              <w:t>Oxidizing Substances</w:t>
            </w:r>
          </w:p>
        </w:tc>
        <w:tc>
          <w:tcPr>
            <w:tcW w:w="1477" w:type="dxa"/>
            <w:shd w:val="clear" w:color="auto" w:fill="auto"/>
            <w:vAlign w:val="center"/>
            <w:hideMark/>
          </w:tcPr>
          <w:p w:rsidR="002B6DAA" w:rsidRPr="00524DB0" w:rsidRDefault="002B6DAA" w:rsidP="000F4F5B">
            <w:pPr>
              <w:spacing w:line="240" w:lineRule="auto"/>
              <w:jc w:val="center"/>
              <w:rPr>
                <w:rFonts w:ascii="Arial Narrow" w:hAnsi="Arial Narrow" w:cs="Calibri"/>
                <w:color w:val="000000"/>
                <w:sz w:val="20"/>
                <w:szCs w:val="20"/>
              </w:rPr>
            </w:pPr>
            <w:r w:rsidRPr="00524DB0">
              <w:rPr>
                <w:rFonts w:ascii="Arial Narrow" w:hAnsi="Arial Narrow" w:cs="Calibri"/>
                <w:color w:val="000000"/>
                <w:sz w:val="20"/>
                <w:szCs w:val="20"/>
              </w:rPr>
              <w:t>5.1</w:t>
            </w:r>
          </w:p>
        </w:tc>
        <w:tc>
          <w:tcPr>
            <w:tcW w:w="3046" w:type="dxa"/>
            <w:shd w:val="clear" w:color="auto" w:fill="auto"/>
            <w:vAlign w:val="center"/>
            <w:hideMark/>
          </w:tcPr>
          <w:p w:rsidR="002B6DAA" w:rsidRPr="00524DB0" w:rsidRDefault="002B6DAA" w:rsidP="00A00B27">
            <w:pPr>
              <w:spacing w:line="240" w:lineRule="auto"/>
              <w:jc w:val="center"/>
              <w:rPr>
                <w:rFonts w:ascii="Arial Narrow" w:hAnsi="Arial Narrow" w:cs="Calibri"/>
                <w:color w:val="000000"/>
                <w:sz w:val="20"/>
                <w:szCs w:val="20"/>
              </w:rPr>
            </w:pPr>
            <w:r w:rsidRPr="00524DB0">
              <w:rPr>
                <w:rFonts w:ascii="Arial Narrow" w:hAnsi="Arial Narrow" w:cs="Calibri"/>
                <w:color w:val="000000"/>
                <w:sz w:val="20"/>
                <w:szCs w:val="20"/>
              </w:rPr>
              <w:t>1</w:t>
            </w:r>
            <w:r w:rsidR="00861B60">
              <w:rPr>
                <w:rFonts w:ascii="Arial Narrow" w:hAnsi="Arial Narrow" w:cs="Calibri"/>
                <w:color w:val="000000"/>
                <w:sz w:val="20"/>
                <w:szCs w:val="20"/>
              </w:rPr>
              <w:t xml:space="preserve"> </w:t>
            </w:r>
            <w:r w:rsidRPr="00524DB0">
              <w:rPr>
                <w:rFonts w:ascii="Arial Narrow" w:hAnsi="Arial Narrow" w:cs="Calibri"/>
                <w:color w:val="000000"/>
                <w:sz w:val="20"/>
                <w:szCs w:val="20"/>
              </w:rPr>
              <w:t>g (0.04 ounce)</w:t>
            </w:r>
          </w:p>
        </w:tc>
        <w:tc>
          <w:tcPr>
            <w:tcW w:w="1614" w:type="dxa"/>
            <w:shd w:val="clear" w:color="auto" w:fill="auto"/>
            <w:vAlign w:val="center"/>
            <w:hideMark/>
          </w:tcPr>
          <w:p w:rsidR="002B6DAA" w:rsidRPr="00524DB0" w:rsidRDefault="002B6DAA" w:rsidP="000F4F5B">
            <w:pPr>
              <w:spacing w:line="240" w:lineRule="auto"/>
              <w:jc w:val="center"/>
              <w:rPr>
                <w:rFonts w:ascii="Arial Narrow" w:hAnsi="Arial Narrow" w:cs="Calibri"/>
                <w:color w:val="000000"/>
                <w:sz w:val="20"/>
                <w:szCs w:val="20"/>
              </w:rPr>
            </w:pPr>
            <w:r w:rsidRPr="00524DB0">
              <w:rPr>
                <w:rFonts w:ascii="Arial Narrow" w:hAnsi="Arial Narrow" w:cs="Calibri"/>
                <w:color w:val="000000"/>
                <w:sz w:val="20"/>
                <w:szCs w:val="20"/>
              </w:rPr>
              <w:t>II and III</w:t>
            </w:r>
          </w:p>
        </w:tc>
      </w:tr>
      <w:tr w:rsidR="002B6DAA" w:rsidRPr="004A1225" w:rsidTr="005A4D18">
        <w:trPr>
          <w:trHeight w:val="432"/>
        </w:trPr>
        <w:tc>
          <w:tcPr>
            <w:tcW w:w="3223" w:type="dxa"/>
            <w:shd w:val="clear" w:color="auto" w:fill="auto"/>
            <w:vAlign w:val="center"/>
            <w:hideMark/>
          </w:tcPr>
          <w:p w:rsidR="002B6DAA" w:rsidRPr="00524DB0" w:rsidRDefault="002B6DAA">
            <w:pPr>
              <w:spacing w:line="240" w:lineRule="auto"/>
              <w:rPr>
                <w:rFonts w:ascii="Arial Narrow" w:hAnsi="Arial Narrow" w:cs="Calibri"/>
                <w:b/>
                <w:bCs/>
                <w:color w:val="000000"/>
                <w:sz w:val="20"/>
                <w:szCs w:val="20"/>
              </w:rPr>
            </w:pPr>
            <w:r w:rsidRPr="00524DB0">
              <w:rPr>
                <w:rFonts w:ascii="Arial Narrow" w:hAnsi="Arial Narrow" w:cs="Calibri"/>
                <w:b/>
                <w:bCs/>
                <w:color w:val="000000"/>
                <w:sz w:val="20"/>
                <w:szCs w:val="20"/>
              </w:rPr>
              <w:t>6</w:t>
            </w:r>
            <w:r w:rsidR="00C103AD" w:rsidRPr="00524DB0">
              <w:rPr>
                <w:rFonts w:ascii="Arial Narrow" w:hAnsi="Arial Narrow" w:cs="Calibri"/>
                <w:bCs/>
                <w:color w:val="000000"/>
                <w:sz w:val="20"/>
                <w:szCs w:val="20"/>
              </w:rPr>
              <w:t>—</w:t>
            </w:r>
            <w:r w:rsidR="00E54A01" w:rsidRPr="00524DB0">
              <w:rPr>
                <w:rFonts w:ascii="Arial Narrow" w:hAnsi="Arial Narrow" w:cs="Calibri"/>
                <w:i/>
                <w:iCs/>
                <w:color w:val="000000"/>
                <w:sz w:val="20"/>
                <w:szCs w:val="20"/>
              </w:rPr>
              <w:t>Toxic Substances</w:t>
            </w:r>
            <w:r w:rsidRPr="00524DB0">
              <w:rPr>
                <w:rFonts w:ascii="Arial Narrow" w:hAnsi="Arial Narrow" w:cs="Calibri"/>
                <w:b/>
                <w:bCs/>
                <w:color w:val="000000"/>
                <w:sz w:val="20"/>
                <w:szCs w:val="20"/>
                <w:vertAlign w:val="superscript"/>
              </w:rPr>
              <w:t xml:space="preserve"> </w:t>
            </w:r>
            <w:r w:rsidR="00524DB0" w:rsidRPr="00524DB0">
              <w:rPr>
                <w:rFonts w:ascii="Arial Narrow" w:hAnsi="Arial Narrow" w:cs="Calibri"/>
                <w:b/>
                <w:bCs/>
                <w:color w:val="000000"/>
                <w:sz w:val="20"/>
                <w:szCs w:val="20"/>
                <w:vertAlign w:val="superscript"/>
              </w:rPr>
              <w:t>1</w:t>
            </w:r>
            <w:r w:rsidRPr="00524DB0">
              <w:rPr>
                <w:rFonts w:ascii="Arial Narrow" w:hAnsi="Arial Narrow" w:cs="Calibri"/>
                <w:bCs/>
                <w:color w:val="000000"/>
                <w:sz w:val="20"/>
                <w:szCs w:val="20"/>
                <w:vertAlign w:val="superscript"/>
              </w:rPr>
              <w:t xml:space="preserve"> </w:t>
            </w:r>
            <w:r w:rsidRPr="00524DB0">
              <w:rPr>
                <w:rFonts w:ascii="Arial Narrow" w:hAnsi="Arial Narrow" w:cs="Calibri"/>
                <w:b/>
                <w:bCs/>
                <w:color w:val="000000"/>
                <w:sz w:val="20"/>
                <w:szCs w:val="20"/>
                <w:vertAlign w:val="superscript"/>
              </w:rPr>
              <w:t xml:space="preserve"> </w:t>
            </w:r>
          </w:p>
        </w:tc>
        <w:tc>
          <w:tcPr>
            <w:tcW w:w="1477" w:type="dxa"/>
            <w:shd w:val="clear" w:color="auto" w:fill="auto"/>
            <w:vAlign w:val="center"/>
            <w:hideMark/>
          </w:tcPr>
          <w:p w:rsidR="002B6DAA" w:rsidRPr="00524DB0" w:rsidRDefault="002B6DAA" w:rsidP="000F4F5B">
            <w:pPr>
              <w:spacing w:line="240" w:lineRule="auto"/>
              <w:jc w:val="center"/>
              <w:rPr>
                <w:rFonts w:ascii="Arial Narrow" w:hAnsi="Arial Narrow" w:cs="Calibri"/>
                <w:color w:val="000000"/>
                <w:sz w:val="20"/>
                <w:szCs w:val="20"/>
              </w:rPr>
            </w:pPr>
            <w:r w:rsidRPr="00524DB0">
              <w:rPr>
                <w:rFonts w:ascii="Arial Narrow" w:hAnsi="Arial Narrow" w:cs="Calibri"/>
                <w:color w:val="000000"/>
                <w:sz w:val="20"/>
                <w:szCs w:val="20"/>
              </w:rPr>
              <w:t>6.1</w:t>
            </w:r>
          </w:p>
        </w:tc>
        <w:tc>
          <w:tcPr>
            <w:tcW w:w="3046" w:type="dxa"/>
            <w:shd w:val="clear" w:color="auto" w:fill="auto"/>
            <w:vAlign w:val="center"/>
            <w:hideMark/>
          </w:tcPr>
          <w:p w:rsidR="002B6DAA" w:rsidRPr="00524DB0" w:rsidRDefault="002B6DAA" w:rsidP="000F4F5B">
            <w:pPr>
              <w:spacing w:line="240" w:lineRule="auto"/>
              <w:jc w:val="center"/>
              <w:rPr>
                <w:rFonts w:ascii="Arial Narrow" w:hAnsi="Arial Narrow" w:cs="Calibri"/>
                <w:color w:val="000000"/>
                <w:sz w:val="20"/>
                <w:szCs w:val="20"/>
              </w:rPr>
            </w:pPr>
            <w:r w:rsidRPr="00524DB0">
              <w:rPr>
                <w:rFonts w:ascii="Arial Narrow" w:hAnsi="Arial Narrow" w:cs="Calibri"/>
                <w:color w:val="000000"/>
                <w:sz w:val="20"/>
                <w:szCs w:val="20"/>
              </w:rPr>
              <w:t>1</w:t>
            </w:r>
            <w:r w:rsidR="00861B60">
              <w:rPr>
                <w:rFonts w:ascii="Arial Narrow" w:hAnsi="Arial Narrow" w:cs="Calibri"/>
                <w:color w:val="000000"/>
                <w:sz w:val="20"/>
                <w:szCs w:val="20"/>
              </w:rPr>
              <w:t xml:space="preserve"> </w:t>
            </w:r>
            <w:r w:rsidRPr="00524DB0">
              <w:rPr>
                <w:rFonts w:ascii="Arial Narrow" w:hAnsi="Arial Narrow" w:cs="Calibri"/>
                <w:color w:val="000000"/>
                <w:sz w:val="20"/>
                <w:szCs w:val="20"/>
              </w:rPr>
              <w:t>g (0.04 ounce)</w:t>
            </w:r>
          </w:p>
        </w:tc>
        <w:tc>
          <w:tcPr>
            <w:tcW w:w="1614" w:type="dxa"/>
            <w:shd w:val="clear" w:color="auto" w:fill="auto"/>
            <w:vAlign w:val="center"/>
            <w:hideMark/>
          </w:tcPr>
          <w:p w:rsidR="002B6DAA" w:rsidRPr="00524DB0" w:rsidRDefault="002B6DAA" w:rsidP="000F4F5B">
            <w:pPr>
              <w:spacing w:line="240" w:lineRule="auto"/>
              <w:jc w:val="center"/>
              <w:rPr>
                <w:rFonts w:ascii="Arial Narrow" w:hAnsi="Arial Narrow" w:cs="Calibri"/>
                <w:color w:val="000000"/>
                <w:sz w:val="20"/>
                <w:szCs w:val="20"/>
              </w:rPr>
            </w:pPr>
            <w:r w:rsidRPr="00524DB0">
              <w:rPr>
                <w:rFonts w:ascii="Arial Narrow" w:hAnsi="Arial Narrow" w:cs="Calibri"/>
                <w:color w:val="000000"/>
                <w:sz w:val="20"/>
                <w:szCs w:val="20"/>
              </w:rPr>
              <w:t>II and III</w:t>
            </w:r>
          </w:p>
        </w:tc>
      </w:tr>
      <w:tr w:rsidR="002B6DAA" w:rsidRPr="004A1225" w:rsidTr="005A4D18">
        <w:trPr>
          <w:trHeight w:val="576"/>
        </w:trPr>
        <w:tc>
          <w:tcPr>
            <w:tcW w:w="3223" w:type="dxa"/>
            <w:shd w:val="clear" w:color="auto" w:fill="auto"/>
            <w:vAlign w:val="center"/>
            <w:hideMark/>
          </w:tcPr>
          <w:p w:rsidR="002B6DAA" w:rsidRPr="00524DB0" w:rsidRDefault="002B6DAA" w:rsidP="00E54A01">
            <w:pPr>
              <w:spacing w:line="240" w:lineRule="auto"/>
              <w:rPr>
                <w:rFonts w:ascii="Arial Narrow" w:hAnsi="Arial Narrow" w:cs="Calibri"/>
                <w:b/>
                <w:bCs/>
                <w:color w:val="000000"/>
                <w:sz w:val="20"/>
                <w:szCs w:val="20"/>
              </w:rPr>
            </w:pPr>
            <w:r w:rsidRPr="00524DB0">
              <w:rPr>
                <w:rFonts w:ascii="Arial Narrow" w:hAnsi="Arial Narrow" w:cs="Calibri"/>
                <w:b/>
                <w:bCs/>
                <w:color w:val="000000"/>
                <w:sz w:val="20"/>
                <w:szCs w:val="20"/>
              </w:rPr>
              <w:t>8</w:t>
            </w:r>
            <w:r w:rsidR="00C103AD" w:rsidRPr="00524DB0">
              <w:rPr>
                <w:rFonts w:ascii="Arial Narrow" w:hAnsi="Arial Narrow" w:cs="Calibri"/>
                <w:bCs/>
                <w:color w:val="000000"/>
                <w:sz w:val="20"/>
                <w:szCs w:val="20"/>
              </w:rPr>
              <w:t>—</w:t>
            </w:r>
            <w:r w:rsidRPr="00524DB0">
              <w:rPr>
                <w:rFonts w:ascii="Arial Narrow" w:hAnsi="Arial Narrow" w:cs="Calibri"/>
                <w:i/>
                <w:iCs/>
                <w:color w:val="000000"/>
                <w:sz w:val="20"/>
                <w:szCs w:val="20"/>
              </w:rPr>
              <w:t>Corrosives</w:t>
            </w:r>
          </w:p>
        </w:tc>
        <w:tc>
          <w:tcPr>
            <w:tcW w:w="1477" w:type="dxa"/>
            <w:shd w:val="clear" w:color="auto" w:fill="auto"/>
            <w:vAlign w:val="center"/>
            <w:hideMark/>
          </w:tcPr>
          <w:p w:rsidR="002B6DAA" w:rsidRPr="00524DB0" w:rsidRDefault="002B6DAA" w:rsidP="000F4F5B">
            <w:pPr>
              <w:spacing w:line="240" w:lineRule="auto"/>
              <w:jc w:val="center"/>
              <w:rPr>
                <w:rFonts w:ascii="Arial Narrow" w:hAnsi="Arial Narrow" w:cs="Calibri"/>
                <w:color w:val="000000"/>
                <w:sz w:val="20"/>
                <w:szCs w:val="20"/>
              </w:rPr>
            </w:pPr>
            <w:r w:rsidRPr="00524DB0">
              <w:rPr>
                <w:rFonts w:ascii="Arial Narrow" w:hAnsi="Arial Narrow" w:cs="Calibri"/>
                <w:color w:val="000000"/>
                <w:sz w:val="20"/>
                <w:szCs w:val="20"/>
              </w:rPr>
              <w:t>8</w:t>
            </w:r>
          </w:p>
        </w:tc>
        <w:tc>
          <w:tcPr>
            <w:tcW w:w="3046" w:type="dxa"/>
            <w:shd w:val="clear" w:color="auto" w:fill="auto"/>
            <w:vAlign w:val="center"/>
            <w:hideMark/>
          </w:tcPr>
          <w:p w:rsidR="00524DB0" w:rsidRPr="00524DB0" w:rsidRDefault="002B6DAA" w:rsidP="00524DB0">
            <w:pPr>
              <w:spacing w:line="240" w:lineRule="auto"/>
              <w:jc w:val="center"/>
              <w:rPr>
                <w:rFonts w:ascii="Arial Narrow" w:hAnsi="Arial Narrow" w:cs="Calibri"/>
                <w:color w:val="000000"/>
                <w:sz w:val="20"/>
                <w:szCs w:val="20"/>
              </w:rPr>
            </w:pPr>
            <w:r w:rsidRPr="00524DB0">
              <w:rPr>
                <w:rFonts w:ascii="Arial Narrow" w:hAnsi="Arial Narrow" w:cs="Calibri"/>
                <w:color w:val="000000"/>
                <w:sz w:val="20"/>
                <w:szCs w:val="20"/>
              </w:rPr>
              <w:t>1</w:t>
            </w:r>
            <w:r w:rsidR="00861B60">
              <w:rPr>
                <w:rFonts w:ascii="Arial Narrow" w:hAnsi="Arial Narrow" w:cs="Calibri"/>
                <w:color w:val="000000"/>
                <w:sz w:val="20"/>
                <w:szCs w:val="20"/>
              </w:rPr>
              <w:t xml:space="preserve"> </w:t>
            </w:r>
            <w:r w:rsidRPr="00524DB0">
              <w:rPr>
                <w:rFonts w:ascii="Arial Narrow" w:hAnsi="Arial Narrow" w:cs="Calibri"/>
                <w:color w:val="000000"/>
                <w:sz w:val="20"/>
                <w:szCs w:val="20"/>
              </w:rPr>
              <w:t>mL (0.03 ounce)</w:t>
            </w:r>
          </w:p>
          <w:p w:rsidR="002B6DAA" w:rsidRPr="00524DB0" w:rsidRDefault="002B6DAA" w:rsidP="00524DB0">
            <w:pPr>
              <w:spacing w:line="240" w:lineRule="auto"/>
              <w:jc w:val="center"/>
              <w:rPr>
                <w:rFonts w:ascii="Arial Narrow" w:hAnsi="Arial Narrow" w:cs="Calibri"/>
                <w:color w:val="000000"/>
                <w:sz w:val="20"/>
                <w:szCs w:val="20"/>
              </w:rPr>
            </w:pPr>
            <w:r w:rsidRPr="00524DB0">
              <w:rPr>
                <w:rFonts w:ascii="Arial Narrow" w:hAnsi="Arial Narrow" w:cs="Calibri"/>
                <w:color w:val="000000"/>
                <w:sz w:val="20"/>
                <w:szCs w:val="20"/>
              </w:rPr>
              <w:t>1</w:t>
            </w:r>
            <w:r w:rsidR="00861B60">
              <w:rPr>
                <w:rFonts w:ascii="Arial Narrow" w:hAnsi="Arial Narrow" w:cs="Calibri"/>
                <w:color w:val="000000"/>
                <w:sz w:val="20"/>
                <w:szCs w:val="20"/>
              </w:rPr>
              <w:t xml:space="preserve"> </w:t>
            </w:r>
            <w:r w:rsidRPr="00524DB0">
              <w:rPr>
                <w:rFonts w:ascii="Arial Narrow" w:hAnsi="Arial Narrow" w:cs="Calibri"/>
                <w:color w:val="000000"/>
                <w:sz w:val="20"/>
                <w:szCs w:val="20"/>
              </w:rPr>
              <w:t>g (0.04ounce)</w:t>
            </w:r>
          </w:p>
        </w:tc>
        <w:tc>
          <w:tcPr>
            <w:tcW w:w="1614" w:type="dxa"/>
            <w:shd w:val="clear" w:color="auto" w:fill="auto"/>
            <w:vAlign w:val="center"/>
            <w:hideMark/>
          </w:tcPr>
          <w:p w:rsidR="002B6DAA" w:rsidRPr="00524DB0" w:rsidRDefault="002B6DAA" w:rsidP="000F4F5B">
            <w:pPr>
              <w:spacing w:line="240" w:lineRule="auto"/>
              <w:jc w:val="center"/>
              <w:rPr>
                <w:rFonts w:ascii="Arial Narrow" w:hAnsi="Arial Narrow" w:cs="Calibri"/>
                <w:color w:val="000000"/>
                <w:sz w:val="20"/>
                <w:szCs w:val="20"/>
              </w:rPr>
            </w:pPr>
            <w:r w:rsidRPr="00524DB0">
              <w:rPr>
                <w:rFonts w:ascii="Arial Narrow" w:hAnsi="Arial Narrow" w:cs="Calibri"/>
                <w:color w:val="000000"/>
                <w:sz w:val="20"/>
                <w:szCs w:val="20"/>
              </w:rPr>
              <w:t>II and III</w:t>
            </w:r>
          </w:p>
        </w:tc>
      </w:tr>
      <w:tr w:rsidR="002B6DAA" w:rsidRPr="004A1225" w:rsidTr="005A4D18">
        <w:trPr>
          <w:trHeight w:val="576"/>
        </w:trPr>
        <w:tc>
          <w:tcPr>
            <w:tcW w:w="3223" w:type="dxa"/>
            <w:shd w:val="clear" w:color="auto" w:fill="auto"/>
            <w:vAlign w:val="center"/>
            <w:hideMark/>
          </w:tcPr>
          <w:p w:rsidR="002B6DAA" w:rsidRPr="00524DB0" w:rsidRDefault="002B6DAA" w:rsidP="00E54A01">
            <w:pPr>
              <w:spacing w:line="240" w:lineRule="auto"/>
              <w:rPr>
                <w:rFonts w:ascii="Arial Narrow" w:hAnsi="Arial Narrow" w:cs="Calibri"/>
                <w:color w:val="000000"/>
                <w:sz w:val="20"/>
                <w:szCs w:val="20"/>
              </w:rPr>
            </w:pPr>
            <w:r w:rsidRPr="00524DB0">
              <w:rPr>
                <w:rFonts w:ascii="Arial Narrow" w:hAnsi="Arial Narrow" w:cs="Calibri"/>
                <w:b/>
                <w:bCs/>
                <w:color w:val="000000"/>
                <w:sz w:val="20"/>
                <w:szCs w:val="20"/>
              </w:rPr>
              <w:t>9</w:t>
            </w:r>
            <w:r w:rsidR="00C103AD" w:rsidRPr="00524DB0">
              <w:rPr>
                <w:rFonts w:ascii="Arial Narrow" w:hAnsi="Arial Narrow" w:cs="Calibri"/>
                <w:bCs/>
                <w:color w:val="000000"/>
                <w:sz w:val="20"/>
                <w:szCs w:val="20"/>
              </w:rPr>
              <w:t>—</w:t>
            </w:r>
            <w:r w:rsidRPr="00524DB0">
              <w:rPr>
                <w:rFonts w:ascii="Arial Narrow" w:hAnsi="Arial Narrow" w:cs="Calibri"/>
                <w:i/>
                <w:iCs/>
                <w:color w:val="000000"/>
                <w:sz w:val="20"/>
                <w:szCs w:val="20"/>
              </w:rPr>
              <w:t>Miscellaneous Dangerous Goods</w:t>
            </w:r>
          </w:p>
        </w:tc>
        <w:tc>
          <w:tcPr>
            <w:tcW w:w="1477" w:type="dxa"/>
            <w:shd w:val="clear" w:color="auto" w:fill="auto"/>
            <w:vAlign w:val="center"/>
            <w:hideMark/>
          </w:tcPr>
          <w:p w:rsidR="002B6DAA" w:rsidRPr="00524DB0" w:rsidRDefault="002B6DAA" w:rsidP="000F4F5B">
            <w:pPr>
              <w:spacing w:line="240" w:lineRule="auto"/>
              <w:jc w:val="center"/>
              <w:rPr>
                <w:rFonts w:ascii="Arial Narrow" w:hAnsi="Arial Narrow" w:cs="Calibri"/>
                <w:color w:val="000000"/>
                <w:sz w:val="20"/>
                <w:szCs w:val="20"/>
              </w:rPr>
            </w:pPr>
            <w:r w:rsidRPr="00524DB0">
              <w:rPr>
                <w:rFonts w:ascii="Arial Narrow" w:hAnsi="Arial Narrow" w:cs="Calibri"/>
                <w:color w:val="000000"/>
                <w:sz w:val="20"/>
                <w:szCs w:val="20"/>
              </w:rPr>
              <w:t>9</w:t>
            </w:r>
          </w:p>
        </w:tc>
        <w:tc>
          <w:tcPr>
            <w:tcW w:w="3046" w:type="dxa"/>
            <w:shd w:val="clear" w:color="auto" w:fill="auto"/>
            <w:vAlign w:val="center"/>
            <w:hideMark/>
          </w:tcPr>
          <w:p w:rsidR="00524DB0" w:rsidRPr="00524DB0" w:rsidRDefault="002B6DAA" w:rsidP="00524DB0">
            <w:pPr>
              <w:spacing w:line="240" w:lineRule="auto"/>
              <w:jc w:val="center"/>
              <w:rPr>
                <w:rFonts w:ascii="Arial Narrow" w:hAnsi="Arial Narrow" w:cs="Calibri"/>
                <w:color w:val="000000"/>
                <w:sz w:val="20"/>
                <w:szCs w:val="20"/>
              </w:rPr>
            </w:pPr>
            <w:r w:rsidRPr="00524DB0">
              <w:rPr>
                <w:rFonts w:ascii="Arial Narrow" w:hAnsi="Arial Narrow" w:cs="Calibri"/>
                <w:color w:val="000000"/>
                <w:sz w:val="20"/>
                <w:szCs w:val="20"/>
              </w:rPr>
              <w:t>1</w:t>
            </w:r>
            <w:r w:rsidR="00861B60">
              <w:rPr>
                <w:rFonts w:ascii="Arial Narrow" w:hAnsi="Arial Narrow" w:cs="Calibri"/>
                <w:color w:val="000000"/>
                <w:sz w:val="20"/>
                <w:szCs w:val="20"/>
              </w:rPr>
              <w:t xml:space="preserve"> </w:t>
            </w:r>
            <w:r w:rsidRPr="00524DB0">
              <w:rPr>
                <w:rFonts w:ascii="Arial Narrow" w:hAnsi="Arial Narrow" w:cs="Calibri"/>
                <w:color w:val="000000"/>
                <w:sz w:val="20"/>
                <w:szCs w:val="20"/>
              </w:rPr>
              <w:t>mL (0.03 ounce)</w:t>
            </w:r>
          </w:p>
          <w:p w:rsidR="002B6DAA" w:rsidRPr="00524DB0" w:rsidRDefault="002B6DAA" w:rsidP="00524DB0">
            <w:pPr>
              <w:spacing w:line="240" w:lineRule="auto"/>
              <w:jc w:val="center"/>
              <w:rPr>
                <w:rFonts w:ascii="Arial Narrow" w:hAnsi="Arial Narrow" w:cs="Calibri"/>
                <w:color w:val="000000"/>
                <w:sz w:val="20"/>
                <w:szCs w:val="20"/>
              </w:rPr>
            </w:pPr>
            <w:r w:rsidRPr="00524DB0">
              <w:rPr>
                <w:rFonts w:ascii="Arial Narrow" w:hAnsi="Arial Narrow" w:cs="Calibri"/>
                <w:color w:val="000000"/>
                <w:sz w:val="20"/>
                <w:szCs w:val="20"/>
              </w:rPr>
              <w:t>1</w:t>
            </w:r>
            <w:r w:rsidR="00861B60">
              <w:rPr>
                <w:rFonts w:ascii="Arial Narrow" w:hAnsi="Arial Narrow" w:cs="Calibri"/>
                <w:color w:val="000000"/>
                <w:sz w:val="20"/>
                <w:szCs w:val="20"/>
              </w:rPr>
              <w:t xml:space="preserve"> </w:t>
            </w:r>
            <w:r w:rsidRPr="00524DB0">
              <w:rPr>
                <w:rFonts w:ascii="Arial Narrow" w:hAnsi="Arial Narrow" w:cs="Calibri"/>
                <w:color w:val="000000"/>
                <w:sz w:val="20"/>
                <w:szCs w:val="20"/>
              </w:rPr>
              <w:t>g (0.04ounce)</w:t>
            </w:r>
          </w:p>
        </w:tc>
        <w:tc>
          <w:tcPr>
            <w:tcW w:w="1614" w:type="dxa"/>
            <w:shd w:val="clear" w:color="auto" w:fill="auto"/>
            <w:vAlign w:val="center"/>
            <w:hideMark/>
          </w:tcPr>
          <w:p w:rsidR="002B6DAA" w:rsidRPr="00524DB0" w:rsidRDefault="002B6DAA" w:rsidP="000F4F5B">
            <w:pPr>
              <w:spacing w:line="240" w:lineRule="auto"/>
              <w:jc w:val="center"/>
              <w:rPr>
                <w:rFonts w:ascii="Arial Narrow" w:hAnsi="Arial Narrow" w:cs="Calibri"/>
                <w:color w:val="000000"/>
                <w:sz w:val="20"/>
                <w:szCs w:val="20"/>
              </w:rPr>
            </w:pPr>
            <w:r w:rsidRPr="00524DB0">
              <w:rPr>
                <w:rFonts w:ascii="Arial Narrow" w:hAnsi="Arial Narrow" w:cs="Calibri"/>
                <w:color w:val="000000"/>
                <w:sz w:val="20"/>
                <w:szCs w:val="20"/>
              </w:rPr>
              <w:t>II and III</w:t>
            </w:r>
          </w:p>
        </w:tc>
      </w:tr>
      <w:tr w:rsidR="00524DB0" w:rsidRPr="00524DB0" w:rsidTr="005A4D18">
        <w:trPr>
          <w:trHeight w:val="20"/>
        </w:trPr>
        <w:tc>
          <w:tcPr>
            <w:tcW w:w="9360" w:type="dxa"/>
            <w:gridSpan w:val="4"/>
            <w:shd w:val="clear" w:color="auto" w:fill="auto"/>
            <w:vAlign w:val="center"/>
          </w:tcPr>
          <w:p w:rsidR="00524DB0" w:rsidRPr="00C22848" w:rsidRDefault="00524DB0" w:rsidP="00407AAA">
            <w:pPr>
              <w:pStyle w:val="FootnoteText"/>
              <w:spacing w:before="120" w:after="120" w:line="240" w:lineRule="auto"/>
              <w:ind w:left="331" w:hanging="331"/>
              <w:rPr>
                <w:rFonts w:ascii="Arial Narrow" w:hAnsi="Arial Narrow" w:cs="Calibri"/>
                <w:color w:val="000000"/>
                <w:sz w:val="18"/>
                <w:szCs w:val="18"/>
              </w:rPr>
            </w:pPr>
            <w:r w:rsidRPr="00524DB0">
              <w:rPr>
                <w:rFonts w:ascii="Arial Narrow" w:hAnsi="Arial Narrow"/>
                <w:sz w:val="18"/>
                <w:szCs w:val="18"/>
                <w:vertAlign w:val="superscript"/>
              </w:rPr>
              <w:t>1</w:t>
            </w:r>
            <w:r w:rsidRPr="00524DB0">
              <w:rPr>
                <w:rFonts w:ascii="Arial Narrow" w:hAnsi="Arial Narrow"/>
                <w:sz w:val="18"/>
                <w:szCs w:val="18"/>
              </w:rPr>
              <w:tab/>
              <w:t>Biological materials do not have special quantity exceptions. Refer to “How-To-Guide” for Category A or B Biological Substances.</w:t>
            </w:r>
          </w:p>
        </w:tc>
      </w:tr>
    </w:tbl>
    <w:p w:rsidR="009B5D4B" w:rsidRPr="00407AAA" w:rsidRDefault="009B5D4B" w:rsidP="00407AAA">
      <w:pPr>
        <w:spacing w:line="240" w:lineRule="auto"/>
        <w:rPr>
          <w:sz w:val="20"/>
          <w:szCs w:val="20"/>
        </w:rPr>
      </w:pPr>
    </w:p>
    <w:p w:rsidR="005B0577" w:rsidRPr="004A1225" w:rsidRDefault="00EF3B9B" w:rsidP="00943268">
      <w:pPr>
        <w:pStyle w:val="ListParagraph"/>
        <w:numPr>
          <w:ilvl w:val="0"/>
          <w:numId w:val="33"/>
        </w:numPr>
        <w:ind w:left="360" w:hanging="180"/>
      </w:pPr>
      <w:r w:rsidRPr="004A1225">
        <w:t>Inner receptacles with removable closures (e.g.</w:t>
      </w:r>
      <w:r w:rsidR="00524DB0">
        <w:t>,</w:t>
      </w:r>
      <w:r w:rsidRPr="004A1225">
        <w:t xml:space="preserve"> caps or lids) are secured closed with tape or similar.</w:t>
      </w:r>
    </w:p>
    <w:p w:rsidR="00E577DE" w:rsidRPr="004A1225" w:rsidRDefault="00587718" w:rsidP="00943268">
      <w:pPr>
        <w:pStyle w:val="ListParagraph"/>
        <w:numPr>
          <w:ilvl w:val="0"/>
          <w:numId w:val="33"/>
        </w:numPr>
        <w:ind w:left="360" w:hanging="180"/>
      </w:pPr>
      <w:r w:rsidRPr="004A1225">
        <w:t>Inner receptacles are securely packed with sufficient cushioning to prevent breakage and enough absorbent material to contain the entire contents of the receptacle.</w:t>
      </w:r>
      <w:r w:rsidRPr="004A1225" w:rsidDel="00587718">
        <w:t xml:space="preserve"> </w:t>
      </w:r>
    </w:p>
    <w:p w:rsidR="005B0577" w:rsidRPr="004A1225" w:rsidRDefault="005B0577" w:rsidP="00943268">
      <w:pPr>
        <w:pStyle w:val="ListParagraph"/>
        <w:numPr>
          <w:ilvl w:val="0"/>
          <w:numId w:val="33"/>
        </w:numPr>
        <w:ind w:left="360" w:hanging="180"/>
      </w:pPr>
      <w:r w:rsidRPr="004A1225">
        <w:t>The inside packaging is securely packed in a strong outer packaging</w:t>
      </w:r>
      <w:r w:rsidR="00062780">
        <w:t>.</w:t>
      </w:r>
    </w:p>
    <w:p w:rsidR="00E577DE" w:rsidRPr="004A1225" w:rsidRDefault="005B0577" w:rsidP="00943268">
      <w:pPr>
        <w:pStyle w:val="ListParagraph"/>
        <w:numPr>
          <w:ilvl w:val="0"/>
          <w:numId w:val="33"/>
        </w:numPr>
        <w:ind w:left="360" w:hanging="180"/>
      </w:pPr>
      <w:r w:rsidRPr="004A1225">
        <w:t>The completed package is capable of sustaining</w:t>
      </w:r>
      <w:r w:rsidR="00587718" w:rsidRPr="004A1225">
        <w:t xml:space="preserve"> a 1.8 meter </w:t>
      </w:r>
      <w:r w:rsidR="00407AAA">
        <w:t xml:space="preserve">(5.9 feet) </w:t>
      </w:r>
      <w:r w:rsidR="00587718" w:rsidRPr="004A1225">
        <w:t>drop test on all sides.</w:t>
      </w:r>
      <w:r w:rsidR="00587718" w:rsidRPr="004A1225" w:rsidDel="00587718">
        <w:t xml:space="preserve"> </w:t>
      </w:r>
    </w:p>
    <w:p w:rsidR="00E577DE" w:rsidRPr="004A1225" w:rsidRDefault="005B0577" w:rsidP="00943268">
      <w:pPr>
        <w:pStyle w:val="ListParagraph"/>
        <w:numPr>
          <w:ilvl w:val="0"/>
          <w:numId w:val="33"/>
        </w:numPr>
        <w:ind w:left="360" w:hanging="180"/>
      </w:pPr>
      <w:r w:rsidRPr="004A1225">
        <w:t xml:space="preserve">Placement of the material in the package or packing different materials in the package does not result in a violation of </w:t>
      </w:r>
      <w:r w:rsidR="00410336">
        <w:t xml:space="preserve">Title 49 CFR </w:t>
      </w:r>
      <w:r w:rsidRPr="004A1225">
        <w:t>§173.21</w:t>
      </w:r>
      <w:r w:rsidR="00524DB0">
        <w:t xml:space="preserve">, </w:t>
      </w:r>
      <w:r w:rsidR="00524DB0">
        <w:rPr>
          <w:i/>
        </w:rPr>
        <w:t>Forbidden materials and packages</w:t>
      </w:r>
      <w:r w:rsidR="00062780">
        <w:t>.</w:t>
      </w:r>
    </w:p>
    <w:p w:rsidR="005B0577" w:rsidRPr="004A1225" w:rsidRDefault="005B0577" w:rsidP="00943268">
      <w:pPr>
        <w:pStyle w:val="ListParagraph"/>
        <w:numPr>
          <w:ilvl w:val="0"/>
          <w:numId w:val="33"/>
        </w:numPr>
        <w:ind w:left="360" w:hanging="180"/>
      </w:pPr>
      <w:r w:rsidRPr="004A1225">
        <w:lastRenderedPageBreak/>
        <w:t>The aggregate quantity of hazardous material per package does not exceed 100 g</w:t>
      </w:r>
      <w:r w:rsidR="00861B60">
        <w:t>rams</w:t>
      </w:r>
      <w:r w:rsidRPr="004A1225">
        <w:t xml:space="preserve"> (0.22 pounds) for solids or 100 m</w:t>
      </w:r>
      <w:r w:rsidR="00861B60">
        <w:t>illiliter</w:t>
      </w:r>
      <w:r w:rsidRPr="004A1225">
        <w:t xml:space="preserve"> (3.38 ounces) for liquids</w:t>
      </w:r>
      <w:r w:rsidR="00062780">
        <w:t>.</w:t>
      </w:r>
    </w:p>
    <w:p w:rsidR="005B0577" w:rsidRPr="004A1225" w:rsidRDefault="005B0577" w:rsidP="00943268">
      <w:pPr>
        <w:pStyle w:val="ListParagraph"/>
        <w:numPr>
          <w:ilvl w:val="0"/>
          <w:numId w:val="33"/>
        </w:numPr>
        <w:ind w:left="360" w:hanging="180"/>
      </w:pPr>
      <w:r w:rsidRPr="004A1225">
        <w:t>The gross mass of the completed package does not exceed 29 k</w:t>
      </w:r>
      <w:r w:rsidR="00861B60">
        <w:t>ilo</w:t>
      </w:r>
      <w:r w:rsidRPr="004A1225">
        <w:t>g</w:t>
      </w:r>
      <w:r w:rsidR="00861B60">
        <w:t>rams</w:t>
      </w:r>
      <w:r w:rsidRPr="004A1225">
        <w:t xml:space="preserve"> (64 pounds</w:t>
      </w:r>
      <w:r w:rsidR="00062780" w:rsidRPr="004A1225">
        <w:t>)</w:t>
      </w:r>
      <w:r w:rsidR="00062780">
        <w:t>.</w:t>
      </w:r>
    </w:p>
    <w:p w:rsidR="005B0577" w:rsidRDefault="005B0577" w:rsidP="00943268">
      <w:pPr>
        <w:pStyle w:val="ListParagraph"/>
        <w:numPr>
          <w:ilvl w:val="0"/>
          <w:numId w:val="33"/>
        </w:numPr>
        <w:ind w:left="360" w:hanging="180"/>
      </w:pPr>
      <w:r w:rsidRPr="004A1225">
        <w:t>The package is not opened or otherwise altered until it is no longer in commerce</w:t>
      </w:r>
      <w:r w:rsidR="00587718" w:rsidRPr="004A1225">
        <w:t>.</w:t>
      </w:r>
    </w:p>
    <w:p w:rsidR="004A1225" w:rsidRPr="004A1225" w:rsidRDefault="004A1225" w:rsidP="004A1225">
      <w:pPr>
        <w:pStyle w:val="ListParagraph"/>
        <w:ind w:left="540"/>
      </w:pPr>
    </w:p>
    <w:p w:rsidR="009A7D54" w:rsidRPr="004A1225" w:rsidRDefault="009A7D54" w:rsidP="004A1225">
      <w:pPr>
        <w:spacing w:after="120"/>
        <w:rPr>
          <w:i/>
          <w:color w:val="595959" w:themeColor="text1" w:themeTint="A6"/>
        </w:rPr>
      </w:pPr>
      <w:r w:rsidRPr="004A1225">
        <w:rPr>
          <w:i/>
          <w:color w:val="595959" w:themeColor="text1" w:themeTint="A6"/>
        </w:rPr>
        <w:t xml:space="preserve">Small Quantity </w:t>
      </w:r>
    </w:p>
    <w:p w:rsidR="009A7D54" w:rsidRDefault="009A7D54" w:rsidP="004A1225">
      <w:r w:rsidRPr="00EB645E">
        <w:t>The following table lists the</w:t>
      </w:r>
      <w:r w:rsidR="00587718">
        <w:t xml:space="preserve"> hazard class/</w:t>
      </w:r>
      <w:r w:rsidRPr="00EB645E">
        <w:t xml:space="preserve">division and amount of hazardous materials per inner receptacle </w:t>
      </w:r>
      <w:r w:rsidR="00587718">
        <w:t>that may be</w:t>
      </w:r>
      <w:r w:rsidRPr="00EB645E">
        <w:t xml:space="preserve"> shipped via ground transportation (highway and railway) as a small quantity. </w:t>
      </w:r>
      <w:r w:rsidR="00644200">
        <w:t>To ship approved materials as a small quantity, the following conditions must be met.</w:t>
      </w:r>
      <w:r w:rsidRPr="00EB645E">
        <w:t xml:space="preserve"> </w:t>
      </w:r>
    </w:p>
    <w:p w:rsidR="004A1225" w:rsidRPr="00EB645E" w:rsidRDefault="004A1225" w:rsidP="004A1225"/>
    <w:p w:rsidR="009A7D54" w:rsidRDefault="009A7D54" w:rsidP="00943268">
      <w:pPr>
        <w:pStyle w:val="ListParagraph"/>
        <w:numPr>
          <w:ilvl w:val="0"/>
          <w:numId w:val="34"/>
        </w:numPr>
        <w:ind w:left="360" w:hanging="180"/>
      </w:pPr>
      <w:r w:rsidRPr="004A1225">
        <w:t>The maximum quantity of material per inner receptacle or article is limited to:</w:t>
      </w:r>
    </w:p>
    <w:p w:rsidR="004A1225" w:rsidRPr="004A1225" w:rsidRDefault="004A1225" w:rsidP="004A1225">
      <w:pPr>
        <w:pStyle w:val="ListParagraph"/>
      </w:pPr>
    </w:p>
    <w:tbl>
      <w:tblPr>
        <w:tblW w:w="9360" w:type="dxa"/>
        <w:tblLook w:val="04A0" w:firstRow="1" w:lastRow="0" w:firstColumn="1" w:lastColumn="0" w:noHBand="0" w:noVBand="1"/>
      </w:tblPr>
      <w:tblGrid>
        <w:gridCol w:w="2193"/>
        <w:gridCol w:w="1009"/>
        <w:gridCol w:w="2019"/>
        <w:gridCol w:w="1285"/>
        <w:gridCol w:w="2854"/>
      </w:tblGrid>
      <w:tr w:rsidR="009A7D54" w:rsidRPr="004A1225" w:rsidTr="00943268">
        <w:trPr>
          <w:trHeight w:val="512"/>
        </w:trPr>
        <w:tc>
          <w:tcPr>
            <w:tcW w:w="91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A7D54" w:rsidRPr="004A1225" w:rsidRDefault="009A7D54" w:rsidP="000F4F5B">
            <w:pPr>
              <w:spacing w:line="240" w:lineRule="auto"/>
              <w:jc w:val="center"/>
              <w:rPr>
                <w:rFonts w:ascii="Arial Narrow" w:hAnsi="Arial Narrow" w:cs="Calibri"/>
                <w:b/>
                <w:bCs/>
                <w:color w:val="000000"/>
                <w:sz w:val="22"/>
                <w:szCs w:val="22"/>
              </w:rPr>
            </w:pPr>
            <w:r w:rsidRPr="004A1225">
              <w:rPr>
                <w:rFonts w:ascii="Arial Narrow" w:hAnsi="Arial Narrow" w:cs="Calibri"/>
                <w:b/>
                <w:bCs/>
                <w:color w:val="000000"/>
                <w:sz w:val="22"/>
                <w:szCs w:val="22"/>
              </w:rPr>
              <w:t>Small Quantities for Highway and Railway</w:t>
            </w:r>
          </w:p>
        </w:tc>
      </w:tr>
      <w:tr w:rsidR="009A7D54" w:rsidRPr="004A1225" w:rsidTr="00943268">
        <w:trPr>
          <w:trHeight w:val="728"/>
        </w:trPr>
        <w:tc>
          <w:tcPr>
            <w:tcW w:w="2152" w:type="dxa"/>
            <w:tcBorders>
              <w:top w:val="single" w:sz="4" w:space="0" w:color="auto"/>
              <w:left w:val="single" w:sz="4" w:space="0" w:color="auto"/>
              <w:bottom w:val="single" w:sz="4" w:space="0" w:color="auto"/>
              <w:right w:val="single" w:sz="4" w:space="0" w:color="auto"/>
            </w:tcBorders>
            <w:shd w:val="clear" w:color="auto" w:fill="E5EBF2" w:themeFill="accent6" w:themeFillTint="33"/>
            <w:noWrap/>
            <w:vAlign w:val="center"/>
            <w:hideMark/>
          </w:tcPr>
          <w:p w:rsidR="009A7D54" w:rsidRPr="00086D18" w:rsidRDefault="009A7D54" w:rsidP="00086D18">
            <w:pPr>
              <w:spacing w:line="240" w:lineRule="auto"/>
              <w:jc w:val="center"/>
              <w:rPr>
                <w:rFonts w:ascii="Arial Narrow" w:hAnsi="Arial Narrow" w:cs="Calibri"/>
                <w:b/>
                <w:bCs/>
                <w:color w:val="000000"/>
                <w:sz w:val="20"/>
                <w:szCs w:val="20"/>
              </w:rPr>
            </w:pPr>
            <w:r w:rsidRPr="00086D18">
              <w:rPr>
                <w:rFonts w:ascii="Arial Narrow" w:hAnsi="Arial Narrow" w:cs="Calibri"/>
                <w:b/>
                <w:bCs/>
                <w:color w:val="000000"/>
                <w:sz w:val="20"/>
                <w:szCs w:val="20"/>
              </w:rPr>
              <w:t>Class</w:t>
            </w:r>
          </w:p>
        </w:tc>
        <w:tc>
          <w:tcPr>
            <w:tcW w:w="990" w:type="dxa"/>
            <w:tcBorders>
              <w:top w:val="single" w:sz="4" w:space="0" w:color="auto"/>
              <w:left w:val="nil"/>
              <w:bottom w:val="single" w:sz="4" w:space="0" w:color="auto"/>
              <w:right w:val="single" w:sz="4" w:space="0" w:color="auto"/>
            </w:tcBorders>
            <w:shd w:val="clear" w:color="auto" w:fill="E5EBF2" w:themeFill="accent6" w:themeFillTint="33"/>
            <w:vAlign w:val="center"/>
            <w:hideMark/>
          </w:tcPr>
          <w:p w:rsidR="009A7D54" w:rsidRPr="00086D18" w:rsidRDefault="009A7D54" w:rsidP="00086D18">
            <w:pPr>
              <w:spacing w:line="240" w:lineRule="auto"/>
              <w:jc w:val="center"/>
              <w:rPr>
                <w:rFonts w:ascii="Arial Narrow" w:hAnsi="Arial Narrow" w:cs="Calibri"/>
                <w:b/>
                <w:bCs/>
                <w:color w:val="000000"/>
                <w:sz w:val="20"/>
                <w:szCs w:val="20"/>
              </w:rPr>
            </w:pPr>
            <w:r w:rsidRPr="00086D18">
              <w:rPr>
                <w:rFonts w:ascii="Arial Narrow" w:hAnsi="Arial Narrow" w:cs="Calibri"/>
                <w:b/>
                <w:bCs/>
                <w:color w:val="000000"/>
                <w:sz w:val="20"/>
                <w:szCs w:val="20"/>
              </w:rPr>
              <w:t>Division</w:t>
            </w:r>
          </w:p>
        </w:tc>
        <w:tc>
          <w:tcPr>
            <w:tcW w:w="1980" w:type="dxa"/>
            <w:tcBorders>
              <w:top w:val="single" w:sz="4" w:space="0" w:color="auto"/>
              <w:left w:val="nil"/>
              <w:bottom w:val="single" w:sz="4" w:space="0" w:color="auto"/>
              <w:right w:val="single" w:sz="4" w:space="0" w:color="auto"/>
            </w:tcBorders>
            <w:shd w:val="clear" w:color="auto" w:fill="E5EBF2" w:themeFill="accent6" w:themeFillTint="33"/>
            <w:vAlign w:val="center"/>
            <w:hideMark/>
          </w:tcPr>
          <w:p w:rsidR="009A7D54" w:rsidRPr="00086D18" w:rsidRDefault="009A7D54" w:rsidP="00086D18">
            <w:pPr>
              <w:spacing w:line="240" w:lineRule="auto"/>
              <w:jc w:val="center"/>
              <w:rPr>
                <w:rFonts w:ascii="Arial Narrow" w:hAnsi="Arial Narrow" w:cs="Calibri"/>
                <w:b/>
                <w:bCs/>
                <w:color w:val="000000"/>
                <w:sz w:val="20"/>
                <w:szCs w:val="20"/>
              </w:rPr>
            </w:pPr>
            <w:r w:rsidRPr="00086D18">
              <w:rPr>
                <w:rFonts w:ascii="Arial Narrow" w:hAnsi="Arial Narrow" w:cs="Calibri"/>
                <w:b/>
                <w:bCs/>
                <w:color w:val="000000"/>
                <w:sz w:val="20"/>
                <w:szCs w:val="20"/>
              </w:rPr>
              <w:t xml:space="preserve">Quantity per Inner </w:t>
            </w:r>
            <w:r w:rsidR="00861B60" w:rsidRPr="00086D18">
              <w:rPr>
                <w:rFonts w:ascii="Arial Narrow" w:hAnsi="Arial Narrow" w:cs="Calibri"/>
                <w:b/>
                <w:bCs/>
                <w:color w:val="000000"/>
                <w:sz w:val="20"/>
                <w:szCs w:val="20"/>
              </w:rPr>
              <w:t>R</w:t>
            </w:r>
            <w:r w:rsidRPr="00086D18">
              <w:rPr>
                <w:rFonts w:ascii="Arial Narrow" w:hAnsi="Arial Narrow" w:cs="Calibri"/>
                <w:b/>
                <w:bCs/>
                <w:color w:val="000000"/>
                <w:sz w:val="20"/>
                <w:szCs w:val="20"/>
              </w:rPr>
              <w:t>eceptacle</w:t>
            </w:r>
          </w:p>
        </w:tc>
        <w:tc>
          <w:tcPr>
            <w:tcW w:w="1260" w:type="dxa"/>
            <w:tcBorders>
              <w:top w:val="single" w:sz="4" w:space="0" w:color="auto"/>
              <w:left w:val="nil"/>
              <w:bottom w:val="single" w:sz="4" w:space="0" w:color="auto"/>
              <w:right w:val="single" w:sz="4" w:space="0" w:color="auto"/>
            </w:tcBorders>
            <w:shd w:val="clear" w:color="auto" w:fill="E5EBF2" w:themeFill="accent6" w:themeFillTint="33"/>
            <w:vAlign w:val="center"/>
            <w:hideMark/>
          </w:tcPr>
          <w:p w:rsidR="009A7D54" w:rsidRPr="00086D18" w:rsidRDefault="009A7D54" w:rsidP="00086D18">
            <w:pPr>
              <w:spacing w:line="240" w:lineRule="auto"/>
              <w:jc w:val="center"/>
              <w:rPr>
                <w:rFonts w:ascii="Arial Narrow" w:hAnsi="Arial Narrow" w:cs="Calibri"/>
                <w:b/>
                <w:bCs/>
                <w:color w:val="000000"/>
                <w:sz w:val="20"/>
                <w:szCs w:val="20"/>
              </w:rPr>
            </w:pPr>
            <w:r w:rsidRPr="00086D18">
              <w:rPr>
                <w:rFonts w:ascii="Arial Narrow" w:hAnsi="Arial Narrow" w:cs="Calibri"/>
                <w:b/>
                <w:bCs/>
                <w:color w:val="000000"/>
                <w:sz w:val="20"/>
                <w:szCs w:val="20"/>
              </w:rPr>
              <w:t>Packing Group</w:t>
            </w:r>
          </w:p>
        </w:tc>
        <w:tc>
          <w:tcPr>
            <w:tcW w:w="2799" w:type="dxa"/>
            <w:tcBorders>
              <w:top w:val="single" w:sz="4" w:space="0" w:color="auto"/>
              <w:left w:val="nil"/>
              <w:bottom w:val="single" w:sz="4" w:space="0" w:color="auto"/>
              <w:right w:val="single" w:sz="4" w:space="0" w:color="auto"/>
            </w:tcBorders>
            <w:shd w:val="clear" w:color="auto" w:fill="E5EBF2" w:themeFill="accent6" w:themeFillTint="33"/>
            <w:vAlign w:val="center"/>
            <w:hideMark/>
          </w:tcPr>
          <w:p w:rsidR="009A7D54" w:rsidRPr="00086D18" w:rsidRDefault="009A7D54" w:rsidP="00086D18">
            <w:pPr>
              <w:spacing w:line="240" w:lineRule="auto"/>
              <w:jc w:val="center"/>
              <w:rPr>
                <w:rFonts w:ascii="Arial Narrow" w:hAnsi="Arial Narrow" w:cs="Calibri"/>
                <w:b/>
                <w:bCs/>
                <w:color w:val="000000"/>
                <w:sz w:val="20"/>
                <w:szCs w:val="20"/>
              </w:rPr>
            </w:pPr>
            <w:r w:rsidRPr="00086D18">
              <w:rPr>
                <w:rFonts w:ascii="Arial Narrow" w:hAnsi="Arial Narrow" w:cs="Calibri"/>
                <w:b/>
                <w:bCs/>
                <w:color w:val="000000"/>
                <w:sz w:val="20"/>
                <w:szCs w:val="20"/>
              </w:rPr>
              <w:t>Special Consideration</w:t>
            </w:r>
          </w:p>
        </w:tc>
      </w:tr>
      <w:tr w:rsidR="009A7D54" w:rsidRPr="004A1225" w:rsidTr="00943268">
        <w:trPr>
          <w:trHeight w:val="720"/>
        </w:trPr>
        <w:tc>
          <w:tcPr>
            <w:tcW w:w="2152" w:type="dxa"/>
            <w:tcBorders>
              <w:top w:val="nil"/>
              <w:left w:val="single" w:sz="4" w:space="0" w:color="auto"/>
              <w:bottom w:val="single" w:sz="4" w:space="0" w:color="auto"/>
              <w:right w:val="single" w:sz="4" w:space="0" w:color="auto"/>
            </w:tcBorders>
            <w:shd w:val="clear" w:color="auto" w:fill="auto"/>
            <w:vAlign w:val="center"/>
            <w:hideMark/>
          </w:tcPr>
          <w:p w:rsidR="009A7D54" w:rsidRPr="00086D18" w:rsidRDefault="009A7D54" w:rsidP="00086D18">
            <w:pPr>
              <w:spacing w:line="240" w:lineRule="auto"/>
              <w:rPr>
                <w:rFonts w:ascii="Arial Narrow" w:hAnsi="Arial Narrow" w:cs="Calibri"/>
                <w:b/>
                <w:bCs/>
                <w:color w:val="000000"/>
                <w:sz w:val="20"/>
                <w:szCs w:val="20"/>
              </w:rPr>
            </w:pPr>
            <w:r w:rsidRPr="00086D18">
              <w:rPr>
                <w:rFonts w:ascii="Arial Narrow" w:hAnsi="Arial Narrow" w:cs="Calibri"/>
                <w:b/>
                <w:bCs/>
                <w:color w:val="000000"/>
                <w:sz w:val="20"/>
                <w:szCs w:val="20"/>
              </w:rPr>
              <w:t>2</w:t>
            </w:r>
            <w:r w:rsidR="00C103AD" w:rsidRPr="00524DB0">
              <w:rPr>
                <w:rFonts w:ascii="Arial Narrow" w:hAnsi="Arial Narrow" w:cs="Calibri"/>
                <w:bCs/>
                <w:color w:val="000000"/>
                <w:sz w:val="20"/>
                <w:szCs w:val="20"/>
              </w:rPr>
              <w:t>—</w:t>
            </w:r>
            <w:r w:rsidRPr="00086D18">
              <w:rPr>
                <w:rFonts w:ascii="Arial Narrow" w:hAnsi="Arial Narrow" w:cs="Calibri"/>
                <w:i/>
                <w:iCs/>
                <w:color w:val="000000"/>
                <w:sz w:val="20"/>
                <w:szCs w:val="20"/>
              </w:rPr>
              <w:t>Gases</w:t>
            </w:r>
          </w:p>
        </w:tc>
        <w:tc>
          <w:tcPr>
            <w:tcW w:w="990" w:type="dxa"/>
            <w:tcBorders>
              <w:top w:val="nil"/>
              <w:left w:val="nil"/>
              <w:bottom w:val="single" w:sz="4" w:space="0" w:color="auto"/>
              <w:right w:val="single" w:sz="4" w:space="0" w:color="auto"/>
            </w:tcBorders>
            <w:shd w:val="clear" w:color="auto" w:fill="auto"/>
            <w:vAlign w:val="center"/>
            <w:hideMark/>
          </w:tcPr>
          <w:p w:rsidR="009A7D54" w:rsidRPr="00086D18" w:rsidRDefault="009A7D54" w:rsidP="00086D18">
            <w:pPr>
              <w:spacing w:line="240" w:lineRule="auto"/>
              <w:jc w:val="center"/>
              <w:rPr>
                <w:rFonts w:ascii="Arial Narrow" w:hAnsi="Arial Narrow" w:cs="Calibri"/>
                <w:color w:val="000000"/>
                <w:sz w:val="20"/>
                <w:szCs w:val="20"/>
              </w:rPr>
            </w:pPr>
            <w:r w:rsidRPr="00086D18">
              <w:rPr>
                <w:rFonts w:ascii="Arial Narrow" w:hAnsi="Arial Narrow" w:cs="Calibri"/>
                <w:color w:val="000000"/>
                <w:sz w:val="20"/>
                <w:szCs w:val="20"/>
              </w:rPr>
              <w:t>2.2</w:t>
            </w:r>
          </w:p>
        </w:tc>
        <w:tc>
          <w:tcPr>
            <w:tcW w:w="1980" w:type="dxa"/>
            <w:tcBorders>
              <w:top w:val="nil"/>
              <w:left w:val="nil"/>
              <w:bottom w:val="single" w:sz="4" w:space="0" w:color="auto"/>
              <w:right w:val="single" w:sz="4" w:space="0" w:color="auto"/>
            </w:tcBorders>
            <w:shd w:val="clear" w:color="auto" w:fill="auto"/>
            <w:vAlign w:val="center"/>
            <w:hideMark/>
          </w:tcPr>
          <w:p w:rsidR="009A7D54" w:rsidRPr="00086D18" w:rsidRDefault="009A7D54" w:rsidP="00086D18">
            <w:pPr>
              <w:spacing w:line="240" w:lineRule="auto"/>
              <w:jc w:val="center"/>
              <w:rPr>
                <w:rFonts w:ascii="Arial Narrow" w:hAnsi="Arial Narrow" w:cs="Calibri"/>
                <w:color w:val="000000"/>
                <w:sz w:val="20"/>
                <w:szCs w:val="20"/>
              </w:rPr>
            </w:pPr>
            <w:r w:rsidRPr="00086D18">
              <w:rPr>
                <w:rFonts w:ascii="Arial Narrow" w:hAnsi="Arial Narrow" w:cs="Calibri"/>
                <w:color w:val="000000"/>
                <w:sz w:val="20"/>
                <w:szCs w:val="20"/>
              </w:rPr>
              <w:t>30</w:t>
            </w:r>
            <w:r w:rsidR="00086D18" w:rsidRPr="00086D18">
              <w:rPr>
                <w:rFonts w:ascii="Arial Narrow" w:hAnsi="Arial Narrow" w:cs="Calibri"/>
                <w:color w:val="000000"/>
                <w:sz w:val="20"/>
                <w:szCs w:val="20"/>
              </w:rPr>
              <w:t xml:space="preserve"> </w:t>
            </w:r>
            <w:r w:rsidRPr="00086D18">
              <w:rPr>
                <w:rFonts w:ascii="Arial Narrow" w:hAnsi="Arial Narrow" w:cs="Calibri"/>
                <w:color w:val="000000"/>
                <w:sz w:val="20"/>
                <w:szCs w:val="20"/>
              </w:rPr>
              <w:t>mL water capacity (1.8 cubic inches)</w:t>
            </w:r>
          </w:p>
        </w:tc>
        <w:tc>
          <w:tcPr>
            <w:tcW w:w="1260" w:type="dxa"/>
            <w:tcBorders>
              <w:top w:val="nil"/>
              <w:left w:val="nil"/>
              <w:bottom w:val="single" w:sz="4" w:space="0" w:color="auto"/>
              <w:right w:val="single" w:sz="4" w:space="0" w:color="auto"/>
            </w:tcBorders>
            <w:shd w:val="clear" w:color="auto" w:fill="auto"/>
            <w:vAlign w:val="center"/>
            <w:hideMark/>
          </w:tcPr>
          <w:p w:rsidR="009A7D54" w:rsidRPr="00086D18" w:rsidRDefault="009A7D54" w:rsidP="00086D18">
            <w:pPr>
              <w:spacing w:line="240" w:lineRule="auto"/>
              <w:jc w:val="center"/>
              <w:rPr>
                <w:rFonts w:ascii="Arial Narrow" w:hAnsi="Arial Narrow" w:cs="Calibri"/>
                <w:color w:val="000000"/>
                <w:sz w:val="20"/>
                <w:szCs w:val="20"/>
              </w:rPr>
            </w:pPr>
            <w:r w:rsidRPr="00086D18">
              <w:rPr>
                <w:rFonts w:ascii="Arial Narrow" w:hAnsi="Arial Narrow" w:cs="Calibri"/>
                <w:color w:val="000000"/>
                <w:sz w:val="20"/>
                <w:szCs w:val="20"/>
              </w:rPr>
              <w:t>I, II and III</w:t>
            </w:r>
          </w:p>
        </w:tc>
        <w:tc>
          <w:tcPr>
            <w:tcW w:w="2799" w:type="dxa"/>
            <w:tcBorders>
              <w:top w:val="nil"/>
              <w:left w:val="nil"/>
              <w:bottom w:val="single" w:sz="4" w:space="0" w:color="auto"/>
              <w:right w:val="single" w:sz="4" w:space="0" w:color="auto"/>
            </w:tcBorders>
            <w:shd w:val="clear" w:color="auto" w:fill="auto"/>
            <w:vAlign w:val="center"/>
            <w:hideMark/>
          </w:tcPr>
          <w:p w:rsidR="009A7D54" w:rsidRPr="00086D18" w:rsidRDefault="009A7D54" w:rsidP="00086D18">
            <w:pPr>
              <w:spacing w:line="240" w:lineRule="auto"/>
              <w:jc w:val="center"/>
              <w:rPr>
                <w:rFonts w:ascii="Arial Narrow" w:hAnsi="Arial Narrow" w:cs="Calibri"/>
                <w:color w:val="000000"/>
                <w:sz w:val="20"/>
                <w:szCs w:val="20"/>
              </w:rPr>
            </w:pPr>
            <w:r w:rsidRPr="00086D18">
              <w:rPr>
                <w:rFonts w:ascii="Arial Narrow" w:hAnsi="Arial Narrow" w:cs="Calibri"/>
                <w:color w:val="000000"/>
                <w:sz w:val="20"/>
                <w:szCs w:val="20"/>
              </w:rPr>
              <w:t>NA</w:t>
            </w:r>
          </w:p>
        </w:tc>
      </w:tr>
      <w:tr w:rsidR="009A7D54" w:rsidRPr="004A1225" w:rsidTr="00943268">
        <w:trPr>
          <w:trHeight w:val="432"/>
        </w:trPr>
        <w:tc>
          <w:tcPr>
            <w:tcW w:w="2152" w:type="dxa"/>
            <w:tcBorders>
              <w:top w:val="nil"/>
              <w:left w:val="single" w:sz="4" w:space="0" w:color="auto"/>
              <w:bottom w:val="single" w:sz="4" w:space="0" w:color="auto"/>
              <w:right w:val="single" w:sz="4" w:space="0" w:color="auto"/>
            </w:tcBorders>
            <w:shd w:val="clear" w:color="auto" w:fill="auto"/>
            <w:vAlign w:val="center"/>
            <w:hideMark/>
          </w:tcPr>
          <w:p w:rsidR="009A7D54" w:rsidRPr="00086D18" w:rsidRDefault="009A7D54" w:rsidP="00086D18">
            <w:pPr>
              <w:spacing w:line="240" w:lineRule="auto"/>
              <w:rPr>
                <w:rFonts w:ascii="Arial Narrow" w:hAnsi="Arial Narrow" w:cs="Calibri"/>
                <w:b/>
                <w:bCs/>
                <w:color w:val="000000"/>
                <w:sz w:val="20"/>
                <w:szCs w:val="20"/>
              </w:rPr>
            </w:pPr>
            <w:r w:rsidRPr="00086D18">
              <w:rPr>
                <w:rFonts w:ascii="Arial Narrow" w:hAnsi="Arial Narrow" w:cs="Calibri"/>
                <w:b/>
                <w:bCs/>
                <w:color w:val="000000"/>
                <w:sz w:val="20"/>
                <w:szCs w:val="20"/>
              </w:rPr>
              <w:t>3</w:t>
            </w:r>
            <w:r w:rsidR="00C103AD" w:rsidRPr="00524DB0">
              <w:rPr>
                <w:rFonts w:ascii="Arial Narrow" w:hAnsi="Arial Narrow" w:cs="Calibri"/>
                <w:bCs/>
                <w:color w:val="000000"/>
                <w:sz w:val="20"/>
                <w:szCs w:val="20"/>
              </w:rPr>
              <w:t>—</w:t>
            </w:r>
            <w:r w:rsidRPr="00086D18">
              <w:rPr>
                <w:rFonts w:ascii="Arial Narrow" w:hAnsi="Arial Narrow" w:cs="Calibri"/>
                <w:i/>
                <w:iCs/>
                <w:color w:val="000000"/>
                <w:sz w:val="20"/>
                <w:szCs w:val="20"/>
              </w:rPr>
              <w:t>Flammable Liquids</w:t>
            </w:r>
          </w:p>
        </w:tc>
        <w:tc>
          <w:tcPr>
            <w:tcW w:w="990" w:type="dxa"/>
            <w:tcBorders>
              <w:top w:val="nil"/>
              <w:left w:val="nil"/>
              <w:bottom w:val="single" w:sz="4" w:space="0" w:color="auto"/>
              <w:right w:val="single" w:sz="4" w:space="0" w:color="auto"/>
            </w:tcBorders>
            <w:shd w:val="clear" w:color="auto" w:fill="auto"/>
            <w:vAlign w:val="center"/>
            <w:hideMark/>
          </w:tcPr>
          <w:p w:rsidR="009A7D54" w:rsidRPr="00086D18" w:rsidRDefault="009A7D54" w:rsidP="00086D18">
            <w:pPr>
              <w:spacing w:line="240" w:lineRule="auto"/>
              <w:jc w:val="center"/>
              <w:rPr>
                <w:rFonts w:ascii="Arial Narrow" w:hAnsi="Arial Narrow" w:cs="Calibri"/>
                <w:color w:val="000000"/>
                <w:sz w:val="20"/>
                <w:szCs w:val="20"/>
              </w:rPr>
            </w:pPr>
            <w:r w:rsidRPr="00086D18">
              <w:rPr>
                <w:rFonts w:ascii="Arial Narrow" w:hAnsi="Arial Narrow" w:cs="Calibri"/>
                <w:color w:val="000000"/>
                <w:sz w:val="20"/>
                <w:szCs w:val="20"/>
              </w:rPr>
              <w:t>3</w:t>
            </w:r>
          </w:p>
        </w:tc>
        <w:tc>
          <w:tcPr>
            <w:tcW w:w="1980" w:type="dxa"/>
            <w:tcBorders>
              <w:top w:val="nil"/>
              <w:left w:val="nil"/>
              <w:bottom w:val="single" w:sz="4" w:space="0" w:color="auto"/>
              <w:right w:val="single" w:sz="4" w:space="0" w:color="auto"/>
            </w:tcBorders>
            <w:shd w:val="clear" w:color="auto" w:fill="auto"/>
            <w:vAlign w:val="center"/>
            <w:hideMark/>
          </w:tcPr>
          <w:p w:rsidR="009A7D54" w:rsidRPr="00086D18" w:rsidRDefault="009A7D54" w:rsidP="00086D18">
            <w:pPr>
              <w:spacing w:line="240" w:lineRule="auto"/>
              <w:jc w:val="center"/>
              <w:rPr>
                <w:rFonts w:ascii="Arial Narrow" w:hAnsi="Arial Narrow" w:cs="Calibri"/>
                <w:color w:val="000000"/>
                <w:sz w:val="20"/>
                <w:szCs w:val="20"/>
              </w:rPr>
            </w:pPr>
            <w:r w:rsidRPr="00086D18">
              <w:rPr>
                <w:rFonts w:ascii="Arial Narrow" w:hAnsi="Arial Narrow" w:cs="Calibri"/>
                <w:color w:val="000000"/>
                <w:sz w:val="20"/>
                <w:szCs w:val="20"/>
              </w:rPr>
              <w:t>30</w:t>
            </w:r>
            <w:r w:rsidR="00086D18" w:rsidRPr="00086D18">
              <w:rPr>
                <w:rFonts w:ascii="Arial Narrow" w:hAnsi="Arial Narrow" w:cs="Calibri"/>
                <w:color w:val="000000"/>
                <w:sz w:val="20"/>
                <w:szCs w:val="20"/>
              </w:rPr>
              <w:t xml:space="preserve"> </w:t>
            </w:r>
            <w:r w:rsidRPr="00086D18">
              <w:rPr>
                <w:rFonts w:ascii="Arial Narrow" w:hAnsi="Arial Narrow" w:cs="Calibri"/>
                <w:color w:val="000000"/>
                <w:sz w:val="20"/>
                <w:szCs w:val="20"/>
              </w:rPr>
              <w:t>mL (1 ounce)</w:t>
            </w:r>
          </w:p>
        </w:tc>
        <w:tc>
          <w:tcPr>
            <w:tcW w:w="1260" w:type="dxa"/>
            <w:tcBorders>
              <w:top w:val="nil"/>
              <w:left w:val="nil"/>
              <w:bottom w:val="single" w:sz="4" w:space="0" w:color="auto"/>
              <w:right w:val="single" w:sz="4" w:space="0" w:color="auto"/>
            </w:tcBorders>
            <w:shd w:val="clear" w:color="auto" w:fill="auto"/>
            <w:vAlign w:val="center"/>
            <w:hideMark/>
          </w:tcPr>
          <w:p w:rsidR="009A7D54" w:rsidRPr="00086D18" w:rsidRDefault="009A7D54" w:rsidP="00086D18">
            <w:pPr>
              <w:spacing w:line="240" w:lineRule="auto"/>
              <w:jc w:val="center"/>
              <w:rPr>
                <w:rFonts w:ascii="Arial Narrow" w:hAnsi="Arial Narrow" w:cs="Calibri"/>
                <w:color w:val="000000"/>
                <w:sz w:val="20"/>
                <w:szCs w:val="20"/>
              </w:rPr>
            </w:pPr>
            <w:r w:rsidRPr="00086D18">
              <w:rPr>
                <w:rFonts w:ascii="Arial Narrow" w:hAnsi="Arial Narrow" w:cs="Calibri"/>
                <w:color w:val="000000"/>
                <w:sz w:val="20"/>
                <w:szCs w:val="20"/>
              </w:rPr>
              <w:t>I, II and III</w:t>
            </w:r>
          </w:p>
        </w:tc>
        <w:tc>
          <w:tcPr>
            <w:tcW w:w="2799" w:type="dxa"/>
            <w:tcBorders>
              <w:top w:val="nil"/>
              <w:left w:val="nil"/>
              <w:bottom w:val="single" w:sz="4" w:space="0" w:color="auto"/>
              <w:right w:val="single" w:sz="4" w:space="0" w:color="auto"/>
            </w:tcBorders>
            <w:shd w:val="clear" w:color="auto" w:fill="auto"/>
            <w:vAlign w:val="center"/>
            <w:hideMark/>
          </w:tcPr>
          <w:p w:rsidR="009A7D54" w:rsidRPr="00086D18" w:rsidRDefault="009A7D54" w:rsidP="00086D18">
            <w:pPr>
              <w:spacing w:line="240" w:lineRule="auto"/>
              <w:jc w:val="center"/>
              <w:rPr>
                <w:rFonts w:ascii="Arial Narrow" w:hAnsi="Arial Narrow" w:cs="Calibri"/>
                <w:color w:val="000000"/>
                <w:sz w:val="20"/>
                <w:szCs w:val="20"/>
              </w:rPr>
            </w:pPr>
            <w:r w:rsidRPr="00086D18">
              <w:rPr>
                <w:rFonts w:ascii="Arial Narrow" w:hAnsi="Arial Narrow" w:cs="Calibri"/>
                <w:color w:val="000000"/>
                <w:sz w:val="20"/>
                <w:szCs w:val="20"/>
              </w:rPr>
              <w:t>Authorized liquid material</w:t>
            </w:r>
          </w:p>
        </w:tc>
      </w:tr>
      <w:tr w:rsidR="009A7D54" w:rsidRPr="004A1225" w:rsidTr="00943268">
        <w:trPr>
          <w:trHeight w:val="432"/>
        </w:trPr>
        <w:tc>
          <w:tcPr>
            <w:tcW w:w="2152" w:type="dxa"/>
            <w:vMerge w:val="restart"/>
            <w:tcBorders>
              <w:top w:val="nil"/>
              <w:left w:val="single" w:sz="4" w:space="0" w:color="auto"/>
              <w:right w:val="single" w:sz="4" w:space="0" w:color="auto"/>
            </w:tcBorders>
            <w:shd w:val="clear" w:color="auto" w:fill="auto"/>
            <w:vAlign w:val="center"/>
            <w:hideMark/>
          </w:tcPr>
          <w:p w:rsidR="009A7D54" w:rsidRPr="00086D18" w:rsidRDefault="009A7D54" w:rsidP="00086D18">
            <w:pPr>
              <w:spacing w:line="240" w:lineRule="auto"/>
              <w:rPr>
                <w:rFonts w:ascii="Arial Narrow" w:hAnsi="Arial Narrow" w:cs="Calibri"/>
                <w:b/>
                <w:bCs/>
                <w:color w:val="000000"/>
                <w:sz w:val="20"/>
                <w:szCs w:val="20"/>
              </w:rPr>
            </w:pPr>
            <w:r w:rsidRPr="00086D18">
              <w:rPr>
                <w:rFonts w:ascii="Arial Narrow" w:hAnsi="Arial Narrow" w:cs="Calibri"/>
                <w:b/>
                <w:bCs/>
                <w:color w:val="000000"/>
                <w:sz w:val="20"/>
                <w:szCs w:val="20"/>
              </w:rPr>
              <w:t>4</w:t>
            </w:r>
            <w:r w:rsidR="00C103AD" w:rsidRPr="00524DB0">
              <w:rPr>
                <w:rFonts w:ascii="Arial Narrow" w:hAnsi="Arial Narrow" w:cs="Calibri"/>
                <w:bCs/>
                <w:color w:val="000000"/>
                <w:sz w:val="20"/>
                <w:szCs w:val="20"/>
              </w:rPr>
              <w:t>—</w:t>
            </w:r>
            <w:r w:rsidRPr="00086D18">
              <w:rPr>
                <w:rFonts w:ascii="Arial Narrow" w:hAnsi="Arial Narrow" w:cs="Calibri"/>
                <w:i/>
                <w:iCs/>
                <w:color w:val="000000"/>
                <w:sz w:val="20"/>
                <w:szCs w:val="20"/>
              </w:rPr>
              <w:t>Flammable Solids</w:t>
            </w:r>
          </w:p>
        </w:tc>
        <w:tc>
          <w:tcPr>
            <w:tcW w:w="990" w:type="dxa"/>
            <w:tcBorders>
              <w:top w:val="nil"/>
              <w:left w:val="nil"/>
              <w:bottom w:val="single" w:sz="4" w:space="0" w:color="auto"/>
              <w:right w:val="single" w:sz="4" w:space="0" w:color="auto"/>
            </w:tcBorders>
            <w:shd w:val="clear" w:color="auto" w:fill="auto"/>
            <w:vAlign w:val="center"/>
            <w:hideMark/>
          </w:tcPr>
          <w:p w:rsidR="009A7D54" w:rsidRPr="00086D18" w:rsidRDefault="009A7D54" w:rsidP="00086D18">
            <w:pPr>
              <w:spacing w:line="240" w:lineRule="auto"/>
              <w:jc w:val="center"/>
              <w:rPr>
                <w:rFonts w:ascii="Arial Narrow" w:hAnsi="Arial Narrow" w:cs="Calibri"/>
                <w:color w:val="000000"/>
                <w:sz w:val="20"/>
                <w:szCs w:val="20"/>
              </w:rPr>
            </w:pPr>
            <w:r w:rsidRPr="00086D18">
              <w:rPr>
                <w:rFonts w:ascii="Arial Narrow" w:hAnsi="Arial Narrow" w:cs="Calibri"/>
                <w:color w:val="000000"/>
                <w:sz w:val="20"/>
                <w:szCs w:val="20"/>
              </w:rPr>
              <w:t>4.1</w:t>
            </w:r>
          </w:p>
        </w:tc>
        <w:tc>
          <w:tcPr>
            <w:tcW w:w="1980" w:type="dxa"/>
            <w:tcBorders>
              <w:top w:val="nil"/>
              <w:left w:val="nil"/>
              <w:bottom w:val="single" w:sz="4" w:space="0" w:color="auto"/>
              <w:right w:val="single" w:sz="4" w:space="0" w:color="auto"/>
            </w:tcBorders>
            <w:shd w:val="clear" w:color="auto" w:fill="auto"/>
            <w:vAlign w:val="center"/>
            <w:hideMark/>
          </w:tcPr>
          <w:p w:rsidR="009A7D54" w:rsidRPr="00086D18" w:rsidRDefault="009A7D54" w:rsidP="00086D18">
            <w:pPr>
              <w:spacing w:line="240" w:lineRule="auto"/>
              <w:jc w:val="center"/>
              <w:rPr>
                <w:rFonts w:ascii="Arial Narrow" w:hAnsi="Arial Narrow" w:cs="Calibri"/>
                <w:color w:val="000000"/>
                <w:sz w:val="20"/>
                <w:szCs w:val="20"/>
              </w:rPr>
            </w:pPr>
            <w:r w:rsidRPr="00086D18">
              <w:rPr>
                <w:rFonts w:ascii="Arial Narrow" w:hAnsi="Arial Narrow" w:cs="Calibri"/>
                <w:color w:val="000000"/>
                <w:sz w:val="20"/>
                <w:szCs w:val="20"/>
              </w:rPr>
              <w:t>30</w:t>
            </w:r>
            <w:r w:rsidR="00086D18" w:rsidRPr="00086D18">
              <w:rPr>
                <w:rFonts w:ascii="Arial Narrow" w:hAnsi="Arial Narrow" w:cs="Calibri"/>
                <w:color w:val="000000"/>
                <w:sz w:val="20"/>
                <w:szCs w:val="20"/>
              </w:rPr>
              <w:t xml:space="preserve"> </w:t>
            </w:r>
            <w:r w:rsidRPr="00086D18">
              <w:rPr>
                <w:rFonts w:ascii="Arial Narrow" w:hAnsi="Arial Narrow" w:cs="Calibri"/>
                <w:color w:val="000000"/>
                <w:sz w:val="20"/>
                <w:szCs w:val="20"/>
              </w:rPr>
              <w:t>g (1 ounce)</w:t>
            </w:r>
          </w:p>
        </w:tc>
        <w:tc>
          <w:tcPr>
            <w:tcW w:w="1260" w:type="dxa"/>
            <w:tcBorders>
              <w:top w:val="nil"/>
              <w:left w:val="nil"/>
              <w:bottom w:val="single" w:sz="4" w:space="0" w:color="auto"/>
              <w:right w:val="single" w:sz="4" w:space="0" w:color="auto"/>
            </w:tcBorders>
            <w:shd w:val="clear" w:color="auto" w:fill="auto"/>
            <w:vAlign w:val="center"/>
            <w:hideMark/>
          </w:tcPr>
          <w:p w:rsidR="009A7D54" w:rsidRPr="00086D18" w:rsidRDefault="009A7D54" w:rsidP="00086D18">
            <w:pPr>
              <w:spacing w:line="240" w:lineRule="auto"/>
              <w:jc w:val="center"/>
              <w:rPr>
                <w:rFonts w:ascii="Arial Narrow" w:hAnsi="Arial Narrow" w:cs="Calibri"/>
                <w:color w:val="000000"/>
                <w:sz w:val="20"/>
                <w:szCs w:val="20"/>
              </w:rPr>
            </w:pPr>
            <w:r w:rsidRPr="00086D18">
              <w:rPr>
                <w:rFonts w:ascii="Arial Narrow" w:hAnsi="Arial Narrow" w:cs="Calibri"/>
                <w:color w:val="000000"/>
                <w:sz w:val="20"/>
                <w:szCs w:val="20"/>
              </w:rPr>
              <w:t>I, II and III</w:t>
            </w:r>
          </w:p>
        </w:tc>
        <w:tc>
          <w:tcPr>
            <w:tcW w:w="2799" w:type="dxa"/>
            <w:tcBorders>
              <w:top w:val="nil"/>
              <w:left w:val="nil"/>
              <w:bottom w:val="single" w:sz="4" w:space="0" w:color="auto"/>
              <w:right w:val="single" w:sz="4" w:space="0" w:color="auto"/>
            </w:tcBorders>
            <w:shd w:val="clear" w:color="auto" w:fill="auto"/>
            <w:vAlign w:val="center"/>
            <w:hideMark/>
          </w:tcPr>
          <w:p w:rsidR="009A7D54" w:rsidRPr="00086D18" w:rsidRDefault="00943268" w:rsidP="00410336">
            <w:pPr>
              <w:spacing w:line="240" w:lineRule="auto"/>
              <w:jc w:val="center"/>
              <w:rPr>
                <w:rFonts w:ascii="Arial Narrow" w:hAnsi="Arial Narrow" w:cs="Calibri"/>
                <w:color w:val="000000"/>
                <w:sz w:val="20"/>
                <w:szCs w:val="20"/>
              </w:rPr>
            </w:pPr>
            <w:r>
              <w:rPr>
                <w:rFonts w:ascii="Arial Narrow" w:hAnsi="Arial Narrow" w:cs="Calibri"/>
                <w:color w:val="000000"/>
                <w:sz w:val="20"/>
                <w:szCs w:val="20"/>
              </w:rPr>
              <w:t>NA</w:t>
            </w:r>
          </w:p>
        </w:tc>
      </w:tr>
      <w:tr w:rsidR="009A7D54" w:rsidRPr="004A1225" w:rsidTr="00943268">
        <w:trPr>
          <w:trHeight w:val="432"/>
        </w:trPr>
        <w:tc>
          <w:tcPr>
            <w:tcW w:w="2152" w:type="dxa"/>
            <w:vMerge/>
            <w:tcBorders>
              <w:left w:val="single" w:sz="4" w:space="0" w:color="auto"/>
              <w:bottom w:val="single" w:sz="4" w:space="0" w:color="auto"/>
              <w:right w:val="single" w:sz="4" w:space="0" w:color="auto"/>
            </w:tcBorders>
            <w:shd w:val="clear" w:color="auto" w:fill="auto"/>
            <w:vAlign w:val="center"/>
            <w:hideMark/>
          </w:tcPr>
          <w:p w:rsidR="009A7D54" w:rsidRPr="00086D18" w:rsidRDefault="009A7D54" w:rsidP="00086D18">
            <w:pPr>
              <w:spacing w:line="240" w:lineRule="auto"/>
              <w:rPr>
                <w:rFonts w:ascii="Arial Narrow" w:hAnsi="Arial Narrow" w:cs="Calibri"/>
                <w:b/>
                <w:bCs/>
                <w:color w:val="000000"/>
                <w:sz w:val="20"/>
                <w:szCs w:val="20"/>
              </w:rPr>
            </w:pPr>
          </w:p>
        </w:tc>
        <w:tc>
          <w:tcPr>
            <w:tcW w:w="990" w:type="dxa"/>
            <w:tcBorders>
              <w:top w:val="nil"/>
              <w:left w:val="nil"/>
              <w:bottom w:val="single" w:sz="4" w:space="0" w:color="auto"/>
              <w:right w:val="single" w:sz="4" w:space="0" w:color="auto"/>
            </w:tcBorders>
            <w:shd w:val="clear" w:color="auto" w:fill="auto"/>
            <w:vAlign w:val="center"/>
            <w:hideMark/>
          </w:tcPr>
          <w:p w:rsidR="009A7D54" w:rsidRPr="00086D18" w:rsidRDefault="009A7D54" w:rsidP="00086D18">
            <w:pPr>
              <w:spacing w:line="240" w:lineRule="auto"/>
              <w:jc w:val="center"/>
              <w:rPr>
                <w:rFonts w:ascii="Arial Narrow" w:hAnsi="Arial Narrow" w:cs="Calibri"/>
                <w:color w:val="000000"/>
                <w:sz w:val="20"/>
                <w:szCs w:val="20"/>
              </w:rPr>
            </w:pPr>
            <w:r w:rsidRPr="00086D18">
              <w:rPr>
                <w:rFonts w:ascii="Arial Narrow" w:hAnsi="Arial Narrow" w:cs="Calibri"/>
                <w:color w:val="000000"/>
                <w:sz w:val="20"/>
                <w:szCs w:val="20"/>
              </w:rPr>
              <w:t>4.2</w:t>
            </w:r>
            <w:r w:rsidR="00086D18" w:rsidRPr="00086D18">
              <w:rPr>
                <w:rFonts w:ascii="Arial Narrow" w:hAnsi="Arial Narrow" w:cs="Calibri"/>
                <w:color w:val="000000"/>
                <w:sz w:val="20"/>
                <w:szCs w:val="20"/>
              </w:rPr>
              <w:t xml:space="preserve"> </w:t>
            </w:r>
            <w:r w:rsidRPr="00086D18">
              <w:rPr>
                <w:rFonts w:ascii="Arial Narrow" w:hAnsi="Arial Narrow" w:cs="Calibri"/>
                <w:color w:val="000000"/>
                <w:sz w:val="20"/>
                <w:szCs w:val="20"/>
              </w:rPr>
              <w:t>/</w:t>
            </w:r>
            <w:r w:rsidR="00086D18" w:rsidRPr="00086D18">
              <w:rPr>
                <w:rFonts w:ascii="Arial Narrow" w:hAnsi="Arial Narrow" w:cs="Calibri"/>
                <w:color w:val="000000"/>
                <w:sz w:val="20"/>
                <w:szCs w:val="20"/>
              </w:rPr>
              <w:t xml:space="preserve"> </w:t>
            </w:r>
            <w:r w:rsidRPr="00086D18">
              <w:rPr>
                <w:rFonts w:ascii="Arial Narrow" w:hAnsi="Arial Narrow" w:cs="Calibri"/>
                <w:color w:val="000000"/>
                <w:sz w:val="20"/>
                <w:szCs w:val="20"/>
              </w:rPr>
              <w:t>4.3</w:t>
            </w:r>
          </w:p>
        </w:tc>
        <w:tc>
          <w:tcPr>
            <w:tcW w:w="1980" w:type="dxa"/>
            <w:tcBorders>
              <w:top w:val="nil"/>
              <w:left w:val="nil"/>
              <w:bottom w:val="single" w:sz="4" w:space="0" w:color="auto"/>
              <w:right w:val="single" w:sz="4" w:space="0" w:color="auto"/>
            </w:tcBorders>
            <w:shd w:val="clear" w:color="auto" w:fill="auto"/>
            <w:vAlign w:val="center"/>
            <w:hideMark/>
          </w:tcPr>
          <w:p w:rsidR="009A7D54" w:rsidRPr="00086D18" w:rsidRDefault="009A7D54" w:rsidP="00086D18">
            <w:pPr>
              <w:spacing w:line="240" w:lineRule="auto"/>
              <w:jc w:val="center"/>
              <w:rPr>
                <w:rFonts w:ascii="Arial Narrow" w:hAnsi="Arial Narrow" w:cs="Calibri"/>
                <w:color w:val="000000"/>
                <w:sz w:val="20"/>
                <w:szCs w:val="20"/>
              </w:rPr>
            </w:pPr>
            <w:r w:rsidRPr="00086D18">
              <w:rPr>
                <w:rFonts w:ascii="Arial Narrow" w:hAnsi="Arial Narrow" w:cs="Calibri"/>
                <w:color w:val="000000"/>
                <w:sz w:val="20"/>
                <w:szCs w:val="20"/>
              </w:rPr>
              <w:t>30</w:t>
            </w:r>
            <w:r w:rsidR="00086D18" w:rsidRPr="00086D18">
              <w:rPr>
                <w:rFonts w:ascii="Arial Narrow" w:hAnsi="Arial Narrow" w:cs="Calibri"/>
                <w:color w:val="000000"/>
                <w:sz w:val="20"/>
                <w:szCs w:val="20"/>
              </w:rPr>
              <w:t xml:space="preserve"> </w:t>
            </w:r>
            <w:r w:rsidRPr="00086D18">
              <w:rPr>
                <w:rFonts w:ascii="Arial Narrow" w:hAnsi="Arial Narrow" w:cs="Calibri"/>
                <w:color w:val="000000"/>
                <w:sz w:val="20"/>
                <w:szCs w:val="20"/>
              </w:rPr>
              <w:t>g (1 ounce)</w:t>
            </w:r>
          </w:p>
        </w:tc>
        <w:tc>
          <w:tcPr>
            <w:tcW w:w="1260" w:type="dxa"/>
            <w:tcBorders>
              <w:top w:val="nil"/>
              <w:left w:val="nil"/>
              <w:bottom w:val="single" w:sz="4" w:space="0" w:color="auto"/>
              <w:right w:val="single" w:sz="4" w:space="0" w:color="auto"/>
            </w:tcBorders>
            <w:shd w:val="clear" w:color="auto" w:fill="auto"/>
            <w:vAlign w:val="center"/>
            <w:hideMark/>
          </w:tcPr>
          <w:p w:rsidR="009A7D54" w:rsidRPr="00086D18" w:rsidRDefault="009A7D54" w:rsidP="00086D18">
            <w:pPr>
              <w:spacing w:line="240" w:lineRule="auto"/>
              <w:jc w:val="center"/>
              <w:rPr>
                <w:rFonts w:ascii="Arial Narrow" w:hAnsi="Arial Narrow" w:cs="Calibri"/>
                <w:color w:val="000000"/>
                <w:sz w:val="20"/>
                <w:szCs w:val="20"/>
              </w:rPr>
            </w:pPr>
            <w:r w:rsidRPr="00086D18">
              <w:rPr>
                <w:rFonts w:ascii="Arial Narrow" w:hAnsi="Arial Narrow" w:cs="Calibri"/>
                <w:color w:val="000000"/>
                <w:sz w:val="20"/>
                <w:szCs w:val="20"/>
              </w:rPr>
              <w:t>II, III</w:t>
            </w:r>
          </w:p>
        </w:tc>
        <w:tc>
          <w:tcPr>
            <w:tcW w:w="2799" w:type="dxa"/>
            <w:tcBorders>
              <w:top w:val="nil"/>
              <w:left w:val="nil"/>
              <w:bottom w:val="single" w:sz="4" w:space="0" w:color="auto"/>
              <w:right w:val="single" w:sz="4" w:space="0" w:color="auto"/>
            </w:tcBorders>
            <w:shd w:val="clear" w:color="auto" w:fill="auto"/>
            <w:vAlign w:val="center"/>
            <w:hideMark/>
          </w:tcPr>
          <w:p w:rsidR="009A7D54" w:rsidRPr="00086D18" w:rsidRDefault="00943268" w:rsidP="00410336">
            <w:pPr>
              <w:spacing w:line="240" w:lineRule="auto"/>
              <w:jc w:val="center"/>
              <w:rPr>
                <w:rFonts w:ascii="Arial Narrow" w:hAnsi="Arial Narrow" w:cs="Calibri"/>
                <w:color w:val="000000"/>
                <w:sz w:val="20"/>
                <w:szCs w:val="20"/>
              </w:rPr>
            </w:pPr>
            <w:r>
              <w:rPr>
                <w:rFonts w:ascii="Arial Narrow" w:hAnsi="Arial Narrow" w:cs="Calibri"/>
                <w:color w:val="000000"/>
                <w:sz w:val="20"/>
                <w:szCs w:val="20"/>
              </w:rPr>
              <w:t>NA</w:t>
            </w:r>
          </w:p>
        </w:tc>
      </w:tr>
      <w:tr w:rsidR="009A7D54" w:rsidRPr="004A1225" w:rsidTr="00943268">
        <w:trPr>
          <w:trHeight w:val="432"/>
        </w:trPr>
        <w:tc>
          <w:tcPr>
            <w:tcW w:w="2152" w:type="dxa"/>
            <w:tcBorders>
              <w:top w:val="nil"/>
              <w:left w:val="single" w:sz="4" w:space="0" w:color="auto"/>
              <w:bottom w:val="single" w:sz="4" w:space="0" w:color="auto"/>
              <w:right w:val="single" w:sz="4" w:space="0" w:color="auto"/>
            </w:tcBorders>
            <w:shd w:val="clear" w:color="auto" w:fill="auto"/>
            <w:vAlign w:val="center"/>
            <w:hideMark/>
          </w:tcPr>
          <w:p w:rsidR="009A7D54" w:rsidRPr="00086D18" w:rsidRDefault="009A7D54" w:rsidP="00086D18">
            <w:pPr>
              <w:spacing w:line="240" w:lineRule="auto"/>
              <w:rPr>
                <w:rFonts w:ascii="Arial Narrow" w:hAnsi="Arial Narrow" w:cs="Calibri"/>
                <w:b/>
                <w:bCs/>
                <w:color w:val="000000"/>
                <w:sz w:val="20"/>
                <w:szCs w:val="20"/>
              </w:rPr>
            </w:pPr>
            <w:r w:rsidRPr="00086D18">
              <w:rPr>
                <w:rFonts w:ascii="Arial Narrow" w:hAnsi="Arial Narrow" w:cs="Calibri"/>
                <w:b/>
                <w:bCs/>
                <w:color w:val="000000"/>
                <w:sz w:val="20"/>
                <w:szCs w:val="20"/>
              </w:rPr>
              <w:t>5</w:t>
            </w:r>
            <w:r w:rsidR="00C103AD" w:rsidRPr="00524DB0">
              <w:rPr>
                <w:rFonts w:ascii="Arial Narrow" w:hAnsi="Arial Narrow" w:cs="Calibri"/>
                <w:bCs/>
                <w:color w:val="000000"/>
                <w:sz w:val="20"/>
                <w:szCs w:val="20"/>
              </w:rPr>
              <w:t>—</w:t>
            </w:r>
            <w:r w:rsidRPr="00086D18">
              <w:rPr>
                <w:rFonts w:ascii="Arial Narrow" w:hAnsi="Arial Narrow" w:cs="Calibri"/>
                <w:i/>
                <w:iCs/>
                <w:color w:val="000000"/>
                <w:sz w:val="20"/>
                <w:szCs w:val="20"/>
              </w:rPr>
              <w:t>Oxidizing Substances</w:t>
            </w:r>
          </w:p>
        </w:tc>
        <w:tc>
          <w:tcPr>
            <w:tcW w:w="990" w:type="dxa"/>
            <w:tcBorders>
              <w:top w:val="nil"/>
              <w:left w:val="nil"/>
              <w:bottom w:val="single" w:sz="4" w:space="0" w:color="auto"/>
              <w:right w:val="single" w:sz="4" w:space="0" w:color="auto"/>
            </w:tcBorders>
            <w:shd w:val="clear" w:color="auto" w:fill="auto"/>
            <w:vAlign w:val="center"/>
            <w:hideMark/>
          </w:tcPr>
          <w:p w:rsidR="009A7D54" w:rsidRPr="00086D18" w:rsidRDefault="009A7D54" w:rsidP="00086D18">
            <w:pPr>
              <w:spacing w:line="240" w:lineRule="auto"/>
              <w:jc w:val="center"/>
              <w:rPr>
                <w:rFonts w:ascii="Arial Narrow" w:hAnsi="Arial Narrow" w:cs="Calibri"/>
                <w:color w:val="000000"/>
                <w:sz w:val="20"/>
                <w:szCs w:val="20"/>
              </w:rPr>
            </w:pPr>
            <w:r w:rsidRPr="00086D18">
              <w:rPr>
                <w:rFonts w:ascii="Arial Narrow" w:hAnsi="Arial Narrow" w:cs="Calibri"/>
                <w:color w:val="000000"/>
                <w:sz w:val="20"/>
                <w:szCs w:val="20"/>
              </w:rPr>
              <w:t>5.1</w:t>
            </w:r>
            <w:r w:rsidR="00086D18" w:rsidRPr="00086D18">
              <w:rPr>
                <w:rFonts w:ascii="Arial Narrow" w:hAnsi="Arial Narrow" w:cs="Calibri"/>
                <w:color w:val="000000"/>
                <w:sz w:val="20"/>
                <w:szCs w:val="20"/>
              </w:rPr>
              <w:t xml:space="preserve"> </w:t>
            </w:r>
            <w:r w:rsidRPr="00086D18">
              <w:rPr>
                <w:rFonts w:ascii="Arial Narrow" w:hAnsi="Arial Narrow" w:cs="Calibri"/>
                <w:color w:val="000000"/>
                <w:sz w:val="20"/>
                <w:szCs w:val="20"/>
              </w:rPr>
              <w:t>/</w:t>
            </w:r>
            <w:r w:rsidR="00086D18" w:rsidRPr="00086D18">
              <w:rPr>
                <w:rFonts w:ascii="Arial Narrow" w:hAnsi="Arial Narrow" w:cs="Calibri"/>
                <w:color w:val="000000"/>
                <w:sz w:val="20"/>
                <w:szCs w:val="20"/>
              </w:rPr>
              <w:t xml:space="preserve"> </w:t>
            </w:r>
            <w:r w:rsidRPr="00086D18">
              <w:rPr>
                <w:rFonts w:ascii="Arial Narrow" w:hAnsi="Arial Narrow" w:cs="Calibri"/>
                <w:color w:val="000000"/>
                <w:sz w:val="20"/>
                <w:szCs w:val="20"/>
              </w:rPr>
              <w:t>5.2</w:t>
            </w:r>
          </w:p>
        </w:tc>
        <w:tc>
          <w:tcPr>
            <w:tcW w:w="1980" w:type="dxa"/>
            <w:tcBorders>
              <w:top w:val="nil"/>
              <w:left w:val="nil"/>
              <w:bottom w:val="single" w:sz="4" w:space="0" w:color="auto"/>
              <w:right w:val="single" w:sz="4" w:space="0" w:color="auto"/>
            </w:tcBorders>
            <w:shd w:val="clear" w:color="auto" w:fill="auto"/>
            <w:vAlign w:val="center"/>
            <w:hideMark/>
          </w:tcPr>
          <w:p w:rsidR="009A7D54" w:rsidRPr="00086D18" w:rsidRDefault="009A7D54" w:rsidP="00086D18">
            <w:pPr>
              <w:spacing w:line="240" w:lineRule="auto"/>
              <w:jc w:val="center"/>
              <w:rPr>
                <w:rFonts w:ascii="Arial Narrow" w:hAnsi="Arial Narrow" w:cs="Calibri"/>
                <w:color w:val="000000"/>
                <w:sz w:val="20"/>
                <w:szCs w:val="20"/>
              </w:rPr>
            </w:pPr>
            <w:r w:rsidRPr="00086D18">
              <w:rPr>
                <w:rFonts w:ascii="Arial Narrow" w:hAnsi="Arial Narrow" w:cs="Calibri"/>
                <w:color w:val="000000"/>
                <w:sz w:val="20"/>
                <w:szCs w:val="20"/>
              </w:rPr>
              <w:t>30</w:t>
            </w:r>
            <w:r w:rsidR="00086D18" w:rsidRPr="00086D18">
              <w:rPr>
                <w:rFonts w:ascii="Arial Narrow" w:hAnsi="Arial Narrow" w:cs="Calibri"/>
                <w:color w:val="000000"/>
                <w:sz w:val="20"/>
                <w:szCs w:val="20"/>
              </w:rPr>
              <w:t xml:space="preserve"> </w:t>
            </w:r>
            <w:r w:rsidRPr="00086D18">
              <w:rPr>
                <w:rFonts w:ascii="Arial Narrow" w:hAnsi="Arial Narrow" w:cs="Calibri"/>
                <w:color w:val="000000"/>
                <w:sz w:val="20"/>
                <w:szCs w:val="20"/>
              </w:rPr>
              <w:t>mL/30</w:t>
            </w:r>
            <w:r w:rsidR="00086D18" w:rsidRPr="00086D18">
              <w:rPr>
                <w:rFonts w:ascii="Arial Narrow" w:hAnsi="Arial Narrow" w:cs="Calibri"/>
                <w:color w:val="000000"/>
                <w:sz w:val="20"/>
                <w:szCs w:val="20"/>
              </w:rPr>
              <w:t xml:space="preserve"> </w:t>
            </w:r>
            <w:r w:rsidRPr="00086D18">
              <w:rPr>
                <w:rFonts w:ascii="Arial Narrow" w:hAnsi="Arial Narrow" w:cs="Calibri"/>
                <w:color w:val="000000"/>
                <w:sz w:val="20"/>
                <w:szCs w:val="20"/>
              </w:rPr>
              <w:t>g (1 ounce)</w:t>
            </w:r>
          </w:p>
        </w:tc>
        <w:tc>
          <w:tcPr>
            <w:tcW w:w="1260" w:type="dxa"/>
            <w:tcBorders>
              <w:top w:val="nil"/>
              <w:left w:val="nil"/>
              <w:bottom w:val="single" w:sz="4" w:space="0" w:color="auto"/>
              <w:right w:val="single" w:sz="4" w:space="0" w:color="auto"/>
            </w:tcBorders>
            <w:shd w:val="clear" w:color="auto" w:fill="auto"/>
            <w:vAlign w:val="center"/>
            <w:hideMark/>
          </w:tcPr>
          <w:p w:rsidR="009A7D54" w:rsidRPr="00086D18" w:rsidRDefault="009A7D54" w:rsidP="00086D18">
            <w:pPr>
              <w:spacing w:line="240" w:lineRule="auto"/>
              <w:jc w:val="center"/>
              <w:rPr>
                <w:rFonts w:ascii="Arial Narrow" w:hAnsi="Arial Narrow" w:cs="Calibri"/>
                <w:color w:val="000000"/>
                <w:sz w:val="20"/>
                <w:szCs w:val="20"/>
              </w:rPr>
            </w:pPr>
            <w:r w:rsidRPr="00086D18">
              <w:rPr>
                <w:rFonts w:ascii="Arial Narrow" w:hAnsi="Arial Narrow" w:cs="Calibri"/>
                <w:color w:val="000000"/>
                <w:sz w:val="20"/>
                <w:szCs w:val="20"/>
              </w:rPr>
              <w:t>I, II and III</w:t>
            </w:r>
          </w:p>
        </w:tc>
        <w:tc>
          <w:tcPr>
            <w:tcW w:w="2799" w:type="dxa"/>
            <w:tcBorders>
              <w:top w:val="nil"/>
              <w:left w:val="nil"/>
              <w:bottom w:val="single" w:sz="4" w:space="0" w:color="auto"/>
              <w:right w:val="single" w:sz="4" w:space="0" w:color="auto"/>
            </w:tcBorders>
            <w:shd w:val="clear" w:color="auto" w:fill="auto"/>
            <w:vAlign w:val="center"/>
            <w:hideMark/>
          </w:tcPr>
          <w:p w:rsidR="009A7D54" w:rsidRPr="00086D18" w:rsidRDefault="00943268" w:rsidP="00410336">
            <w:pPr>
              <w:spacing w:line="240" w:lineRule="auto"/>
              <w:jc w:val="center"/>
              <w:rPr>
                <w:rFonts w:ascii="Arial Narrow" w:hAnsi="Arial Narrow" w:cs="Calibri"/>
                <w:color w:val="000000"/>
                <w:sz w:val="20"/>
                <w:szCs w:val="20"/>
              </w:rPr>
            </w:pPr>
            <w:r>
              <w:rPr>
                <w:rFonts w:ascii="Arial Narrow" w:hAnsi="Arial Narrow" w:cs="Calibri"/>
                <w:color w:val="000000"/>
                <w:sz w:val="20"/>
                <w:szCs w:val="20"/>
              </w:rPr>
              <w:t>NA</w:t>
            </w:r>
          </w:p>
        </w:tc>
      </w:tr>
      <w:tr w:rsidR="009A7D54" w:rsidRPr="004A1225" w:rsidTr="00943268">
        <w:trPr>
          <w:trHeight w:val="432"/>
        </w:trPr>
        <w:tc>
          <w:tcPr>
            <w:tcW w:w="2152" w:type="dxa"/>
            <w:tcBorders>
              <w:top w:val="nil"/>
              <w:left w:val="single" w:sz="4" w:space="0" w:color="auto"/>
              <w:bottom w:val="single" w:sz="4" w:space="0" w:color="auto"/>
              <w:right w:val="single" w:sz="4" w:space="0" w:color="auto"/>
            </w:tcBorders>
            <w:shd w:val="clear" w:color="auto" w:fill="auto"/>
            <w:vAlign w:val="center"/>
            <w:hideMark/>
          </w:tcPr>
          <w:p w:rsidR="009A7D54" w:rsidRPr="00086D18" w:rsidRDefault="009A7D54" w:rsidP="00086D18">
            <w:pPr>
              <w:spacing w:line="240" w:lineRule="auto"/>
              <w:rPr>
                <w:rFonts w:ascii="Arial Narrow" w:hAnsi="Arial Narrow" w:cs="Calibri"/>
                <w:b/>
                <w:bCs/>
                <w:color w:val="000000"/>
                <w:sz w:val="20"/>
                <w:szCs w:val="20"/>
              </w:rPr>
            </w:pPr>
            <w:r w:rsidRPr="00086D18">
              <w:rPr>
                <w:rFonts w:ascii="Arial Narrow" w:hAnsi="Arial Narrow" w:cs="Calibri"/>
                <w:b/>
                <w:bCs/>
                <w:color w:val="000000"/>
                <w:sz w:val="20"/>
                <w:szCs w:val="20"/>
              </w:rPr>
              <w:t>6</w:t>
            </w:r>
            <w:r w:rsidR="00C103AD" w:rsidRPr="00524DB0">
              <w:rPr>
                <w:rFonts w:ascii="Arial Narrow" w:hAnsi="Arial Narrow" w:cs="Calibri"/>
                <w:bCs/>
                <w:color w:val="000000"/>
                <w:sz w:val="20"/>
                <w:szCs w:val="20"/>
              </w:rPr>
              <w:t>—</w:t>
            </w:r>
            <w:r w:rsidR="00086D18" w:rsidRPr="00086D18">
              <w:rPr>
                <w:rFonts w:ascii="Arial Narrow" w:hAnsi="Arial Narrow" w:cs="Calibri"/>
                <w:i/>
                <w:iCs/>
                <w:color w:val="000000"/>
                <w:sz w:val="20"/>
                <w:szCs w:val="20"/>
              </w:rPr>
              <w:t>Toxic Substances</w:t>
            </w:r>
            <w:r w:rsidR="00086D18">
              <w:rPr>
                <w:rFonts w:ascii="Arial Narrow" w:hAnsi="Arial Narrow" w:cs="Calibri"/>
                <w:iCs/>
                <w:color w:val="000000"/>
                <w:sz w:val="20"/>
                <w:szCs w:val="20"/>
              </w:rPr>
              <w:t xml:space="preserve"> </w:t>
            </w:r>
            <w:r w:rsidR="00086D18" w:rsidRPr="00086D18">
              <w:rPr>
                <w:rFonts w:ascii="Arial Narrow" w:hAnsi="Arial Narrow" w:cs="Calibri"/>
                <w:iCs/>
                <w:color w:val="000000"/>
                <w:sz w:val="20"/>
                <w:szCs w:val="20"/>
                <w:vertAlign w:val="superscript"/>
              </w:rPr>
              <w:t>1</w:t>
            </w:r>
          </w:p>
        </w:tc>
        <w:tc>
          <w:tcPr>
            <w:tcW w:w="990" w:type="dxa"/>
            <w:tcBorders>
              <w:top w:val="nil"/>
              <w:left w:val="nil"/>
              <w:bottom w:val="single" w:sz="4" w:space="0" w:color="auto"/>
              <w:right w:val="single" w:sz="4" w:space="0" w:color="auto"/>
            </w:tcBorders>
            <w:shd w:val="clear" w:color="auto" w:fill="auto"/>
            <w:vAlign w:val="center"/>
            <w:hideMark/>
          </w:tcPr>
          <w:p w:rsidR="009A7D54" w:rsidRPr="00086D18" w:rsidRDefault="009A7D54" w:rsidP="00086D18">
            <w:pPr>
              <w:spacing w:line="240" w:lineRule="auto"/>
              <w:jc w:val="center"/>
              <w:rPr>
                <w:rFonts w:ascii="Arial Narrow" w:hAnsi="Arial Narrow" w:cs="Calibri"/>
                <w:color w:val="000000"/>
                <w:sz w:val="20"/>
                <w:szCs w:val="20"/>
              </w:rPr>
            </w:pPr>
            <w:r w:rsidRPr="00086D18">
              <w:rPr>
                <w:rFonts w:ascii="Arial Narrow" w:hAnsi="Arial Narrow" w:cs="Calibri"/>
                <w:color w:val="000000"/>
                <w:sz w:val="20"/>
                <w:szCs w:val="20"/>
              </w:rPr>
              <w:t>6.1</w:t>
            </w:r>
          </w:p>
        </w:tc>
        <w:tc>
          <w:tcPr>
            <w:tcW w:w="1980" w:type="dxa"/>
            <w:tcBorders>
              <w:top w:val="nil"/>
              <w:left w:val="nil"/>
              <w:bottom w:val="single" w:sz="4" w:space="0" w:color="auto"/>
              <w:right w:val="single" w:sz="4" w:space="0" w:color="auto"/>
            </w:tcBorders>
            <w:shd w:val="clear" w:color="auto" w:fill="auto"/>
            <w:vAlign w:val="center"/>
            <w:hideMark/>
          </w:tcPr>
          <w:p w:rsidR="009A7D54" w:rsidRPr="00086D18" w:rsidRDefault="009A7D54" w:rsidP="00086D18">
            <w:pPr>
              <w:spacing w:line="240" w:lineRule="auto"/>
              <w:jc w:val="center"/>
              <w:rPr>
                <w:rFonts w:ascii="Arial Narrow" w:hAnsi="Arial Narrow" w:cs="Calibri"/>
                <w:color w:val="000000"/>
                <w:sz w:val="20"/>
                <w:szCs w:val="20"/>
              </w:rPr>
            </w:pPr>
            <w:r w:rsidRPr="00086D18">
              <w:rPr>
                <w:rFonts w:ascii="Arial Narrow" w:hAnsi="Arial Narrow" w:cs="Calibri"/>
                <w:color w:val="000000"/>
                <w:sz w:val="20"/>
                <w:szCs w:val="20"/>
              </w:rPr>
              <w:t>1</w:t>
            </w:r>
            <w:r w:rsidR="00086D18" w:rsidRPr="00086D18">
              <w:rPr>
                <w:rFonts w:ascii="Arial Narrow" w:hAnsi="Arial Narrow" w:cs="Calibri"/>
                <w:color w:val="000000"/>
                <w:sz w:val="20"/>
                <w:szCs w:val="20"/>
              </w:rPr>
              <w:t xml:space="preserve"> </w:t>
            </w:r>
            <w:r w:rsidRPr="00086D18">
              <w:rPr>
                <w:rFonts w:ascii="Arial Narrow" w:hAnsi="Arial Narrow" w:cs="Calibri"/>
                <w:color w:val="000000"/>
                <w:sz w:val="20"/>
                <w:szCs w:val="20"/>
              </w:rPr>
              <w:t>g (0.04 ounce)</w:t>
            </w:r>
          </w:p>
        </w:tc>
        <w:tc>
          <w:tcPr>
            <w:tcW w:w="1260" w:type="dxa"/>
            <w:tcBorders>
              <w:top w:val="nil"/>
              <w:left w:val="nil"/>
              <w:bottom w:val="single" w:sz="4" w:space="0" w:color="auto"/>
              <w:right w:val="single" w:sz="4" w:space="0" w:color="auto"/>
            </w:tcBorders>
            <w:shd w:val="clear" w:color="auto" w:fill="auto"/>
            <w:vAlign w:val="center"/>
            <w:hideMark/>
          </w:tcPr>
          <w:p w:rsidR="009A7D54" w:rsidRPr="00086D18" w:rsidRDefault="009A7D54" w:rsidP="00086D18">
            <w:pPr>
              <w:spacing w:line="240" w:lineRule="auto"/>
              <w:jc w:val="center"/>
              <w:rPr>
                <w:rFonts w:ascii="Arial Narrow" w:hAnsi="Arial Narrow" w:cs="Calibri"/>
                <w:color w:val="000000"/>
                <w:sz w:val="20"/>
                <w:szCs w:val="20"/>
              </w:rPr>
            </w:pPr>
            <w:r w:rsidRPr="00086D18">
              <w:rPr>
                <w:rFonts w:ascii="Arial Narrow" w:hAnsi="Arial Narrow" w:cs="Calibri"/>
                <w:color w:val="000000"/>
                <w:sz w:val="20"/>
                <w:szCs w:val="20"/>
              </w:rPr>
              <w:t>I</w:t>
            </w:r>
          </w:p>
        </w:tc>
        <w:tc>
          <w:tcPr>
            <w:tcW w:w="2799" w:type="dxa"/>
            <w:tcBorders>
              <w:top w:val="nil"/>
              <w:left w:val="nil"/>
              <w:bottom w:val="single" w:sz="4" w:space="0" w:color="auto"/>
              <w:right w:val="single" w:sz="4" w:space="0" w:color="auto"/>
            </w:tcBorders>
            <w:shd w:val="clear" w:color="auto" w:fill="auto"/>
            <w:vAlign w:val="center"/>
            <w:hideMark/>
          </w:tcPr>
          <w:p w:rsidR="009A7D54" w:rsidRPr="00086D18" w:rsidRDefault="009A7D54" w:rsidP="00086D18">
            <w:pPr>
              <w:spacing w:line="240" w:lineRule="auto"/>
              <w:jc w:val="center"/>
              <w:rPr>
                <w:rFonts w:ascii="Arial Narrow" w:hAnsi="Arial Narrow" w:cs="Calibri"/>
                <w:color w:val="000000"/>
                <w:sz w:val="20"/>
                <w:szCs w:val="20"/>
              </w:rPr>
            </w:pPr>
            <w:r w:rsidRPr="00086D18">
              <w:rPr>
                <w:rFonts w:ascii="Arial Narrow" w:hAnsi="Arial Narrow" w:cs="Calibri"/>
                <w:color w:val="000000"/>
                <w:sz w:val="20"/>
                <w:szCs w:val="20"/>
              </w:rPr>
              <w:t>Hazard Zone A or B materials</w:t>
            </w:r>
            <w:r w:rsidR="00086D18">
              <w:rPr>
                <w:rFonts w:ascii="Arial Narrow" w:hAnsi="Arial Narrow" w:cs="Calibri"/>
                <w:color w:val="000000"/>
                <w:sz w:val="20"/>
                <w:szCs w:val="20"/>
              </w:rPr>
              <w:t xml:space="preserve"> </w:t>
            </w:r>
            <w:r w:rsidR="00086D18" w:rsidRPr="00086D18">
              <w:rPr>
                <w:rFonts w:ascii="Arial Narrow" w:hAnsi="Arial Narrow" w:cs="Calibri"/>
                <w:color w:val="000000"/>
                <w:sz w:val="20"/>
                <w:szCs w:val="20"/>
                <w:vertAlign w:val="superscript"/>
              </w:rPr>
              <w:t>1</w:t>
            </w:r>
          </w:p>
        </w:tc>
      </w:tr>
      <w:tr w:rsidR="009A7D54" w:rsidRPr="004A1225" w:rsidTr="00943268">
        <w:trPr>
          <w:trHeight w:val="864"/>
        </w:trPr>
        <w:tc>
          <w:tcPr>
            <w:tcW w:w="2152" w:type="dxa"/>
            <w:tcBorders>
              <w:top w:val="nil"/>
              <w:left w:val="single" w:sz="4" w:space="0" w:color="auto"/>
              <w:bottom w:val="single" w:sz="4" w:space="0" w:color="auto"/>
              <w:right w:val="single" w:sz="4" w:space="0" w:color="auto"/>
            </w:tcBorders>
            <w:shd w:val="clear" w:color="auto" w:fill="auto"/>
            <w:vAlign w:val="center"/>
            <w:hideMark/>
          </w:tcPr>
          <w:p w:rsidR="00C103AD" w:rsidRPr="00C103AD" w:rsidRDefault="009A7D54" w:rsidP="00410336">
            <w:pPr>
              <w:spacing w:line="240" w:lineRule="auto"/>
              <w:rPr>
                <w:rFonts w:ascii="Arial Narrow" w:hAnsi="Arial Narrow" w:cs="Calibri"/>
                <w:b/>
                <w:bCs/>
                <w:color w:val="000000"/>
                <w:sz w:val="20"/>
                <w:szCs w:val="20"/>
              </w:rPr>
            </w:pPr>
            <w:r w:rsidRPr="00086D18">
              <w:rPr>
                <w:rFonts w:ascii="Arial Narrow" w:hAnsi="Arial Narrow" w:cs="Calibri"/>
                <w:b/>
                <w:bCs/>
                <w:color w:val="000000"/>
                <w:sz w:val="20"/>
                <w:szCs w:val="20"/>
              </w:rPr>
              <w:t>7</w:t>
            </w:r>
            <w:r w:rsidR="00C103AD" w:rsidRPr="00524DB0">
              <w:rPr>
                <w:rFonts w:ascii="Arial Narrow" w:hAnsi="Arial Narrow" w:cs="Calibri"/>
                <w:bCs/>
                <w:color w:val="000000"/>
                <w:sz w:val="20"/>
                <w:szCs w:val="20"/>
              </w:rPr>
              <w:t>—</w:t>
            </w:r>
            <w:r w:rsidRPr="00086D18">
              <w:rPr>
                <w:rFonts w:ascii="Arial Narrow" w:hAnsi="Arial Narrow" w:cs="Calibri"/>
                <w:i/>
                <w:iCs/>
                <w:color w:val="000000"/>
                <w:sz w:val="20"/>
                <w:szCs w:val="20"/>
              </w:rPr>
              <w:t>Radioactive Material</w:t>
            </w:r>
          </w:p>
        </w:tc>
        <w:tc>
          <w:tcPr>
            <w:tcW w:w="990" w:type="dxa"/>
            <w:tcBorders>
              <w:top w:val="nil"/>
              <w:left w:val="nil"/>
              <w:bottom w:val="single" w:sz="4" w:space="0" w:color="auto"/>
              <w:right w:val="single" w:sz="4" w:space="0" w:color="auto"/>
            </w:tcBorders>
            <w:shd w:val="clear" w:color="auto" w:fill="auto"/>
            <w:vAlign w:val="center"/>
            <w:hideMark/>
          </w:tcPr>
          <w:p w:rsidR="009A7D54" w:rsidRPr="00086D18" w:rsidRDefault="009A7D54" w:rsidP="00086D18">
            <w:pPr>
              <w:spacing w:line="240" w:lineRule="auto"/>
              <w:jc w:val="center"/>
              <w:rPr>
                <w:rFonts w:ascii="Arial Narrow" w:hAnsi="Arial Narrow" w:cs="Calibri"/>
                <w:color w:val="00000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9A7D54" w:rsidRPr="00086D18" w:rsidRDefault="009A7D54" w:rsidP="00086D18">
            <w:pPr>
              <w:spacing w:line="240" w:lineRule="auto"/>
              <w:jc w:val="center"/>
              <w:rPr>
                <w:rFonts w:ascii="Arial Narrow" w:hAnsi="Arial Narrow" w:cs="Calibri"/>
                <w:color w:val="000000"/>
                <w:sz w:val="20"/>
                <w:szCs w:val="20"/>
              </w:rPr>
            </w:pPr>
            <w:r w:rsidRPr="00086D18">
              <w:rPr>
                <w:rFonts w:ascii="Arial Narrow" w:hAnsi="Arial Narrow" w:cs="Calibri"/>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9A7D54" w:rsidRPr="00086D18" w:rsidRDefault="009A7D54" w:rsidP="00086D18">
            <w:pPr>
              <w:spacing w:line="240" w:lineRule="auto"/>
              <w:jc w:val="center"/>
              <w:rPr>
                <w:rFonts w:ascii="Arial Narrow" w:hAnsi="Arial Narrow" w:cs="Calibri"/>
                <w:color w:val="000000"/>
                <w:sz w:val="20"/>
                <w:szCs w:val="20"/>
              </w:rPr>
            </w:pPr>
            <w:r w:rsidRPr="00086D18">
              <w:rPr>
                <w:rFonts w:ascii="Arial Narrow" w:hAnsi="Arial Narrow" w:cs="Calibri"/>
                <w:color w:val="000000"/>
                <w:sz w:val="20"/>
                <w:szCs w:val="20"/>
              </w:rPr>
              <w:t> </w:t>
            </w:r>
          </w:p>
        </w:tc>
        <w:tc>
          <w:tcPr>
            <w:tcW w:w="2799" w:type="dxa"/>
            <w:tcBorders>
              <w:top w:val="nil"/>
              <w:left w:val="nil"/>
              <w:bottom w:val="single" w:sz="4" w:space="0" w:color="auto"/>
              <w:right w:val="single" w:sz="4" w:space="0" w:color="auto"/>
            </w:tcBorders>
            <w:shd w:val="clear" w:color="auto" w:fill="auto"/>
            <w:vAlign w:val="center"/>
            <w:hideMark/>
          </w:tcPr>
          <w:p w:rsidR="009A7D54" w:rsidRPr="00086D18" w:rsidRDefault="009A7D54" w:rsidP="00086D18">
            <w:pPr>
              <w:spacing w:line="240" w:lineRule="auto"/>
              <w:jc w:val="center"/>
              <w:rPr>
                <w:rFonts w:ascii="Arial Narrow" w:hAnsi="Arial Narrow" w:cs="Calibri"/>
                <w:color w:val="000000"/>
                <w:sz w:val="20"/>
                <w:szCs w:val="20"/>
              </w:rPr>
            </w:pPr>
            <w:r w:rsidRPr="00086D18">
              <w:rPr>
                <w:rFonts w:ascii="Arial Narrow" w:hAnsi="Arial Narrow" w:cs="Calibri"/>
                <w:color w:val="000000"/>
                <w:sz w:val="20"/>
                <w:szCs w:val="20"/>
              </w:rPr>
              <w:t>Speak with your institutions Radiation Safety Officer before shipping any radioactive materials</w:t>
            </w:r>
          </w:p>
        </w:tc>
      </w:tr>
      <w:tr w:rsidR="009A7D54" w:rsidRPr="004A1225" w:rsidTr="00943268">
        <w:trPr>
          <w:trHeight w:val="432"/>
        </w:trPr>
        <w:tc>
          <w:tcPr>
            <w:tcW w:w="2152" w:type="dxa"/>
            <w:tcBorders>
              <w:top w:val="nil"/>
              <w:left w:val="single" w:sz="4" w:space="0" w:color="auto"/>
              <w:bottom w:val="single" w:sz="4" w:space="0" w:color="auto"/>
              <w:right w:val="single" w:sz="4" w:space="0" w:color="auto"/>
            </w:tcBorders>
            <w:shd w:val="clear" w:color="auto" w:fill="auto"/>
            <w:vAlign w:val="center"/>
            <w:hideMark/>
          </w:tcPr>
          <w:p w:rsidR="009A7D54" w:rsidRPr="00086D18" w:rsidRDefault="009A7D54" w:rsidP="00086D18">
            <w:pPr>
              <w:spacing w:line="240" w:lineRule="auto"/>
              <w:rPr>
                <w:rFonts w:ascii="Arial Narrow" w:hAnsi="Arial Narrow" w:cs="Calibri"/>
                <w:b/>
                <w:bCs/>
                <w:color w:val="000000"/>
                <w:sz w:val="20"/>
                <w:szCs w:val="20"/>
              </w:rPr>
            </w:pPr>
            <w:r w:rsidRPr="00086D18">
              <w:rPr>
                <w:rFonts w:ascii="Arial Narrow" w:hAnsi="Arial Narrow" w:cs="Calibri"/>
                <w:b/>
                <w:bCs/>
                <w:color w:val="000000"/>
                <w:sz w:val="20"/>
                <w:szCs w:val="20"/>
              </w:rPr>
              <w:t>8</w:t>
            </w:r>
            <w:r w:rsidR="00C103AD" w:rsidRPr="00524DB0">
              <w:rPr>
                <w:rFonts w:ascii="Arial Narrow" w:hAnsi="Arial Narrow" w:cs="Calibri"/>
                <w:bCs/>
                <w:color w:val="000000"/>
                <w:sz w:val="20"/>
                <w:szCs w:val="20"/>
              </w:rPr>
              <w:t>—</w:t>
            </w:r>
            <w:r w:rsidRPr="00086D18">
              <w:rPr>
                <w:rFonts w:ascii="Arial Narrow" w:hAnsi="Arial Narrow" w:cs="Calibri"/>
                <w:i/>
                <w:iCs/>
                <w:color w:val="000000"/>
                <w:sz w:val="20"/>
                <w:szCs w:val="20"/>
              </w:rPr>
              <w:t>Corrosives</w:t>
            </w:r>
          </w:p>
        </w:tc>
        <w:tc>
          <w:tcPr>
            <w:tcW w:w="990" w:type="dxa"/>
            <w:tcBorders>
              <w:top w:val="nil"/>
              <w:left w:val="nil"/>
              <w:bottom w:val="single" w:sz="4" w:space="0" w:color="auto"/>
              <w:right w:val="single" w:sz="4" w:space="0" w:color="auto"/>
            </w:tcBorders>
            <w:shd w:val="clear" w:color="auto" w:fill="auto"/>
            <w:vAlign w:val="center"/>
            <w:hideMark/>
          </w:tcPr>
          <w:p w:rsidR="009A7D54" w:rsidRPr="00086D18" w:rsidRDefault="009A7D54" w:rsidP="00086D18">
            <w:pPr>
              <w:spacing w:line="240" w:lineRule="auto"/>
              <w:jc w:val="center"/>
              <w:rPr>
                <w:rFonts w:ascii="Arial Narrow" w:hAnsi="Arial Narrow" w:cs="Calibri"/>
                <w:color w:val="000000"/>
                <w:sz w:val="20"/>
                <w:szCs w:val="20"/>
              </w:rPr>
            </w:pPr>
            <w:r w:rsidRPr="00086D18">
              <w:rPr>
                <w:rFonts w:ascii="Arial Narrow" w:hAnsi="Arial Narrow" w:cs="Calibri"/>
                <w:color w:val="000000"/>
                <w:sz w:val="20"/>
                <w:szCs w:val="20"/>
              </w:rPr>
              <w:t>8</w:t>
            </w:r>
          </w:p>
        </w:tc>
        <w:tc>
          <w:tcPr>
            <w:tcW w:w="1980" w:type="dxa"/>
            <w:tcBorders>
              <w:top w:val="nil"/>
              <w:left w:val="nil"/>
              <w:bottom w:val="single" w:sz="4" w:space="0" w:color="auto"/>
              <w:right w:val="single" w:sz="4" w:space="0" w:color="auto"/>
            </w:tcBorders>
            <w:shd w:val="clear" w:color="auto" w:fill="auto"/>
            <w:vAlign w:val="center"/>
            <w:hideMark/>
          </w:tcPr>
          <w:p w:rsidR="009A7D54" w:rsidRPr="00086D18" w:rsidRDefault="009A7D54" w:rsidP="00086D18">
            <w:pPr>
              <w:spacing w:line="240" w:lineRule="auto"/>
              <w:jc w:val="center"/>
              <w:rPr>
                <w:rFonts w:ascii="Arial Narrow" w:hAnsi="Arial Narrow" w:cs="Calibri"/>
                <w:color w:val="000000"/>
                <w:sz w:val="20"/>
                <w:szCs w:val="20"/>
              </w:rPr>
            </w:pPr>
            <w:r w:rsidRPr="00086D18">
              <w:rPr>
                <w:rFonts w:ascii="Arial Narrow" w:hAnsi="Arial Narrow" w:cs="Calibri"/>
                <w:color w:val="000000"/>
                <w:sz w:val="20"/>
                <w:szCs w:val="20"/>
              </w:rPr>
              <w:t>30</w:t>
            </w:r>
            <w:r w:rsidR="00086D18" w:rsidRPr="00086D18">
              <w:rPr>
                <w:rFonts w:ascii="Arial Narrow" w:hAnsi="Arial Narrow" w:cs="Calibri"/>
                <w:color w:val="000000"/>
                <w:sz w:val="20"/>
                <w:szCs w:val="20"/>
              </w:rPr>
              <w:t xml:space="preserve"> </w:t>
            </w:r>
            <w:r w:rsidRPr="00086D18">
              <w:rPr>
                <w:rFonts w:ascii="Arial Narrow" w:hAnsi="Arial Narrow" w:cs="Calibri"/>
                <w:color w:val="000000"/>
                <w:sz w:val="20"/>
                <w:szCs w:val="20"/>
              </w:rPr>
              <w:t>mL/30</w:t>
            </w:r>
            <w:r w:rsidR="00086D18" w:rsidRPr="00086D18">
              <w:rPr>
                <w:rFonts w:ascii="Arial Narrow" w:hAnsi="Arial Narrow" w:cs="Calibri"/>
                <w:color w:val="000000"/>
                <w:sz w:val="20"/>
                <w:szCs w:val="20"/>
              </w:rPr>
              <w:t xml:space="preserve"> </w:t>
            </w:r>
            <w:r w:rsidRPr="00086D18">
              <w:rPr>
                <w:rFonts w:ascii="Arial Narrow" w:hAnsi="Arial Narrow" w:cs="Calibri"/>
                <w:color w:val="000000"/>
                <w:sz w:val="20"/>
                <w:szCs w:val="20"/>
              </w:rPr>
              <w:t>g (1 ounce)</w:t>
            </w:r>
          </w:p>
        </w:tc>
        <w:tc>
          <w:tcPr>
            <w:tcW w:w="1260" w:type="dxa"/>
            <w:tcBorders>
              <w:top w:val="nil"/>
              <w:left w:val="nil"/>
              <w:bottom w:val="single" w:sz="4" w:space="0" w:color="auto"/>
              <w:right w:val="single" w:sz="4" w:space="0" w:color="auto"/>
            </w:tcBorders>
            <w:shd w:val="clear" w:color="auto" w:fill="auto"/>
            <w:vAlign w:val="center"/>
            <w:hideMark/>
          </w:tcPr>
          <w:p w:rsidR="009A7D54" w:rsidRPr="00086D18" w:rsidRDefault="009A7D54" w:rsidP="00086D18">
            <w:pPr>
              <w:spacing w:line="240" w:lineRule="auto"/>
              <w:jc w:val="center"/>
              <w:rPr>
                <w:rFonts w:ascii="Arial Narrow" w:hAnsi="Arial Narrow" w:cs="Calibri"/>
                <w:color w:val="000000"/>
                <w:sz w:val="20"/>
                <w:szCs w:val="20"/>
              </w:rPr>
            </w:pPr>
            <w:r w:rsidRPr="00086D18">
              <w:rPr>
                <w:rFonts w:ascii="Arial Narrow" w:hAnsi="Arial Narrow" w:cs="Calibri"/>
                <w:color w:val="000000"/>
                <w:sz w:val="20"/>
                <w:szCs w:val="20"/>
              </w:rPr>
              <w:t>I, II and III</w:t>
            </w:r>
          </w:p>
        </w:tc>
        <w:tc>
          <w:tcPr>
            <w:tcW w:w="2799" w:type="dxa"/>
            <w:tcBorders>
              <w:top w:val="nil"/>
              <w:left w:val="nil"/>
              <w:bottom w:val="single" w:sz="4" w:space="0" w:color="auto"/>
              <w:right w:val="single" w:sz="4" w:space="0" w:color="auto"/>
            </w:tcBorders>
            <w:shd w:val="clear" w:color="auto" w:fill="auto"/>
            <w:vAlign w:val="center"/>
            <w:hideMark/>
          </w:tcPr>
          <w:p w:rsidR="009A7D54" w:rsidRPr="00086D18" w:rsidRDefault="00943268" w:rsidP="00410336">
            <w:pPr>
              <w:spacing w:line="240" w:lineRule="auto"/>
              <w:jc w:val="center"/>
              <w:rPr>
                <w:rFonts w:ascii="Arial Narrow" w:hAnsi="Arial Narrow" w:cs="Calibri"/>
                <w:color w:val="000000"/>
                <w:sz w:val="20"/>
                <w:szCs w:val="20"/>
              </w:rPr>
            </w:pPr>
            <w:r>
              <w:rPr>
                <w:rFonts w:ascii="Arial Narrow" w:hAnsi="Arial Narrow" w:cs="Calibri"/>
                <w:color w:val="000000"/>
                <w:sz w:val="20"/>
                <w:szCs w:val="20"/>
              </w:rPr>
              <w:t>NA</w:t>
            </w:r>
          </w:p>
        </w:tc>
      </w:tr>
      <w:tr w:rsidR="009A7D54" w:rsidRPr="004A1225" w:rsidTr="00943268">
        <w:trPr>
          <w:trHeight w:val="720"/>
        </w:trPr>
        <w:tc>
          <w:tcPr>
            <w:tcW w:w="2152" w:type="dxa"/>
            <w:tcBorders>
              <w:top w:val="nil"/>
              <w:left w:val="single" w:sz="4" w:space="0" w:color="auto"/>
              <w:bottom w:val="single" w:sz="4" w:space="0" w:color="auto"/>
              <w:right w:val="single" w:sz="4" w:space="0" w:color="auto"/>
            </w:tcBorders>
            <w:shd w:val="clear" w:color="auto" w:fill="auto"/>
            <w:vAlign w:val="center"/>
            <w:hideMark/>
          </w:tcPr>
          <w:p w:rsidR="009A7D54" w:rsidRPr="00086D18" w:rsidRDefault="009A7D54" w:rsidP="00410336">
            <w:pPr>
              <w:spacing w:line="240" w:lineRule="auto"/>
              <w:ind w:left="244" w:hanging="244"/>
              <w:rPr>
                <w:rFonts w:ascii="Arial Narrow" w:hAnsi="Arial Narrow" w:cs="Calibri"/>
                <w:color w:val="000000"/>
                <w:sz w:val="20"/>
                <w:szCs w:val="20"/>
              </w:rPr>
            </w:pPr>
            <w:r w:rsidRPr="00086D18">
              <w:rPr>
                <w:rFonts w:ascii="Arial Narrow" w:hAnsi="Arial Narrow" w:cs="Calibri"/>
                <w:b/>
                <w:bCs/>
                <w:color w:val="000000"/>
                <w:sz w:val="20"/>
                <w:szCs w:val="20"/>
              </w:rPr>
              <w:t>9</w:t>
            </w:r>
            <w:r w:rsidR="00C103AD" w:rsidRPr="00524DB0">
              <w:rPr>
                <w:rFonts w:ascii="Arial Narrow" w:hAnsi="Arial Narrow" w:cs="Calibri"/>
                <w:bCs/>
                <w:color w:val="000000"/>
                <w:sz w:val="20"/>
                <w:szCs w:val="20"/>
              </w:rPr>
              <w:t>—</w:t>
            </w:r>
            <w:r w:rsidRPr="00086D18">
              <w:rPr>
                <w:rFonts w:ascii="Arial Narrow" w:hAnsi="Arial Narrow" w:cs="Calibri"/>
                <w:i/>
                <w:iCs/>
                <w:color w:val="000000"/>
                <w:sz w:val="20"/>
                <w:szCs w:val="20"/>
              </w:rPr>
              <w:t>Miscellaneous Dangerous Goods</w:t>
            </w:r>
          </w:p>
        </w:tc>
        <w:tc>
          <w:tcPr>
            <w:tcW w:w="990" w:type="dxa"/>
            <w:tcBorders>
              <w:top w:val="nil"/>
              <w:left w:val="nil"/>
              <w:bottom w:val="single" w:sz="4" w:space="0" w:color="auto"/>
              <w:right w:val="single" w:sz="4" w:space="0" w:color="auto"/>
            </w:tcBorders>
            <w:shd w:val="clear" w:color="auto" w:fill="auto"/>
            <w:vAlign w:val="center"/>
            <w:hideMark/>
          </w:tcPr>
          <w:p w:rsidR="009A7D54" w:rsidRPr="00086D18" w:rsidRDefault="009A7D54" w:rsidP="00086D18">
            <w:pPr>
              <w:spacing w:line="240" w:lineRule="auto"/>
              <w:jc w:val="center"/>
              <w:rPr>
                <w:rFonts w:ascii="Arial Narrow" w:hAnsi="Arial Narrow" w:cs="Calibri"/>
                <w:color w:val="000000"/>
                <w:sz w:val="20"/>
                <w:szCs w:val="20"/>
              </w:rPr>
            </w:pPr>
            <w:r w:rsidRPr="00086D18">
              <w:rPr>
                <w:rFonts w:ascii="Arial Narrow" w:hAnsi="Arial Narrow" w:cs="Calibri"/>
                <w:color w:val="000000"/>
                <w:sz w:val="20"/>
                <w:szCs w:val="20"/>
              </w:rPr>
              <w:t>9</w:t>
            </w:r>
          </w:p>
        </w:tc>
        <w:tc>
          <w:tcPr>
            <w:tcW w:w="1980" w:type="dxa"/>
            <w:tcBorders>
              <w:top w:val="nil"/>
              <w:left w:val="nil"/>
              <w:bottom w:val="single" w:sz="4" w:space="0" w:color="auto"/>
              <w:right w:val="single" w:sz="4" w:space="0" w:color="auto"/>
            </w:tcBorders>
            <w:shd w:val="clear" w:color="auto" w:fill="auto"/>
            <w:vAlign w:val="center"/>
            <w:hideMark/>
          </w:tcPr>
          <w:p w:rsidR="009A7D54" w:rsidRPr="00086D18" w:rsidRDefault="009A7D54" w:rsidP="00086D18">
            <w:pPr>
              <w:spacing w:line="240" w:lineRule="auto"/>
              <w:jc w:val="center"/>
              <w:rPr>
                <w:rFonts w:ascii="Arial Narrow" w:hAnsi="Arial Narrow" w:cs="Calibri"/>
                <w:color w:val="000000"/>
                <w:sz w:val="20"/>
                <w:szCs w:val="20"/>
              </w:rPr>
            </w:pPr>
            <w:r w:rsidRPr="00086D18">
              <w:rPr>
                <w:rFonts w:ascii="Arial Narrow" w:hAnsi="Arial Narrow" w:cs="Calibri"/>
                <w:color w:val="000000"/>
                <w:sz w:val="20"/>
                <w:szCs w:val="20"/>
              </w:rPr>
              <w:t>30</w:t>
            </w:r>
            <w:r w:rsidR="00086D18" w:rsidRPr="00086D18">
              <w:rPr>
                <w:rFonts w:ascii="Arial Narrow" w:hAnsi="Arial Narrow" w:cs="Calibri"/>
                <w:color w:val="000000"/>
                <w:sz w:val="20"/>
                <w:szCs w:val="20"/>
              </w:rPr>
              <w:t xml:space="preserve"> </w:t>
            </w:r>
            <w:r w:rsidRPr="00086D18">
              <w:rPr>
                <w:rFonts w:ascii="Arial Narrow" w:hAnsi="Arial Narrow" w:cs="Calibri"/>
                <w:color w:val="000000"/>
                <w:sz w:val="20"/>
                <w:szCs w:val="20"/>
              </w:rPr>
              <w:t>mL/30</w:t>
            </w:r>
            <w:r w:rsidR="00086D18" w:rsidRPr="00086D18">
              <w:rPr>
                <w:rFonts w:ascii="Arial Narrow" w:hAnsi="Arial Narrow" w:cs="Calibri"/>
                <w:color w:val="000000"/>
                <w:sz w:val="20"/>
                <w:szCs w:val="20"/>
              </w:rPr>
              <w:t xml:space="preserve"> </w:t>
            </w:r>
            <w:r w:rsidRPr="00086D18">
              <w:rPr>
                <w:rFonts w:ascii="Arial Narrow" w:hAnsi="Arial Narrow" w:cs="Calibri"/>
                <w:color w:val="000000"/>
                <w:sz w:val="20"/>
                <w:szCs w:val="20"/>
              </w:rPr>
              <w:t>g (1 ounce)</w:t>
            </w:r>
          </w:p>
        </w:tc>
        <w:tc>
          <w:tcPr>
            <w:tcW w:w="1260" w:type="dxa"/>
            <w:tcBorders>
              <w:top w:val="nil"/>
              <w:left w:val="nil"/>
              <w:bottom w:val="single" w:sz="4" w:space="0" w:color="auto"/>
              <w:right w:val="single" w:sz="4" w:space="0" w:color="auto"/>
            </w:tcBorders>
            <w:shd w:val="clear" w:color="auto" w:fill="auto"/>
            <w:vAlign w:val="center"/>
            <w:hideMark/>
          </w:tcPr>
          <w:p w:rsidR="009A7D54" w:rsidRPr="00086D18" w:rsidRDefault="009A7D54" w:rsidP="00086D18">
            <w:pPr>
              <w:spacing w:line="240" w:lineRule="auto"/>
              <w:jc w:val="center"/>
              <w:rPr>
                <w:rFonts w:ascii="Arial Narrow" w:hAnsi="Arial Narrow" w:cs="Calibri"/>
                <w:color w:val="000000"/>
                <w:sz w:val="20"/>
                <w:szCs w:val="20"/>
              </w:rPr>
            </w:pPr>
            <w:r w:rsidRPr="00086D18">
              <w:rPr>
                <w:rFonts w:ascii="Arial Narrow" w:hAnsi="Arial Narrow" w:cs="Calibri"/>
                <w:color w:val="000000"/>
                <w:sz w:val="20"/>
                <w:szCs w:val="20"/>
              </w:rPr>
              <w:t>I, II and III</w:t>
            </w:r>
          </w:p>
        </w:tc>
        <w:tc>
          <w:tcPr>
            <w:tcW w:w="2799" w:type="dxa"/>
            <w:tcBorders>
              <w:top w:val="nil"/>
              <w:left w:val="nil"/>
              <w:bottom w:val="single" w:sz="4" w:space="0" w:color="auto"/>
              <w:right w:val="single" w:sz="4" w:space="0" w:color="auto"/>
            </w:tcBorders>
            <w:shd w:val="clear" w:color="auto" w:fill="auto"/>
            <w:vAlign w:val="center"/>
            <w:hideMark/>
          </w:tcPr>
          <w:p w:rsidR="009A7D54" w:rsidRPr="00086D18" w:rsidRDefault="00943268" w:rsidP="00410336">
            <w:pPr>
              <w:spacing w:line="240" w:lineRule="auto"/>
              <w:jc w:val="center"/>
              <w:rPr>
                <w:rFonts w:ascii="Arial Narrow" w:hAnsi="Arial Narrow" w:cs="Calibri"/>
                <w:color w:val="000000"/>
                <w:sz w:val="20"/>
                <w:szCs w:val="20"/>
              </w:rPr>
            </w:pPr>
            <w:r>
              <w:rPr>
                <w:rFonts w:ascii="Arial Narrow" w:hAnsi="Arial Narrow" w:cs="Calibri"/>
                <w:color w:val="000000"/>
                <w:sz w:val="20"/>
                <w:szCs w:val="20"/>
              </w:rPr>
              <w:t>NA</w:t>
            </w:r>
          </w:p>
        </w:tc>
      </w:tr>
      <w:tr w:rsidR="00626CB5" w:rsidRPr="00626CB5" w:rsidTr="00943268">
        <w:trPr>
          <w:trHeight w:val="144"/>
        </w:trPr>
        <w:tc>
          <w:tcPr>
            <w:tcW w:w="91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6CB5" w:rsidRPr="00626CB5" w:rsidRDefault="00626CB5" w:rsidP="00E45823">
            <w:pPr>
              <w:pStyle w:val="FootnoteText"/>
              <w:spacing w:before="120" w:line="240" w:lineRule="auto"/>
              <w:ind w:left="331" w:hanging="331"/>
              <w:rPr>
                <w:rFonts w:ascii="Arial Narrow" w:hAnsi="Arial Narrow"/>
                <w:sz w:val="18"/>
                <w:szCs w:val="18"/>
              </w:rPr>
            </w:pPr>
            <w:r w:rsidRPr="00626CB5">
              <w:rPr>
                <w:rFonts w:ascii="Arial Narrow" w:hAnsi="Arial Narrow"/>
                <w:sz w:val="18"/>
                <w:szCs w:val="18"/>
                <w:vertAlign w:val="superscript"/>
              </w:rPr>
              <w:t>1</w:t>
            </w:r>
            <w:r w:rsidRPr="00626CB5">
              <w:rPr>
                <w:rFonts w:ascii="Arial Narrow" w:hAnsi="Arial Narrow"/>
                <w:sz w:val="18"/>
                <w:szCs w:val="18"/>
              </w:rPr>
              <w:tab/>
              <w:t xml:space="preserve">Hazard Zone A: LC50 less than or equal to 200 </w:t>
            </w:r>
            <w:r>
              <w:rPr>
                <w:rFonts w:ascii="Arial Narrow" w:hAnsi="Arial Narrow"/>
                <w:sz w:val="18"/>
                <w:szCs w:val="18"/>
              </w:rPr>
              <w:t>parts per million (</w:t>
            </w:r>
            <w:r w:rsidRPr="00626CB5">
              <w:rPr>
                <w:rFonts w:ascii="Arial Narrow" w:hAnsi="Arial Narrow"/>
                <w:sz w:val="18"/>
                <w:szCs w:val="18"/>
              </w:rPr>
              <w:t>ppm</w:t>
            </w:r>
            <w:r>
              <w:rPr>
                <w:rFonts w:ascii="Arial Narrow" w:hAnsi="Arial Narrow"/>
                <w:sz w:val="18"/>
                <w:szCs w:val="18"/>
              </w:rPr>
              <w:t>)</w:t>
            </w:r>
            <w:r w:rsidRPr="00626CB5">
              <w:rPr>
                <w:rFonts w:ascii="Arial Narrow" w:hAnsi="Arial Narrow"/>
                <w:sz w:val="18"/>
                <w:szCs w:val="18"/>
              </w:rPr>
              <w:t>. Hazard Zone B: LC50 greater than 200 ppm and less than or equal to 1</w:t>
            </w:r>
            <w:r>
              <w:rPr>
                <w:rFonts w:ascii="Arial Narrow" w:hAnsi="Arial Narrow"/>
                <w:sz w:val="18"/>
                <w:szCs w:val="18"/>
              </w:rPr>
              <w:t>,</w:t>
            </w:r>
            <w:r w:rsidRPr="00626CB5">
              <w:rPr>
                <w:rFonts w:ascii="Arial Narrow" w:hAnsi="Arial Narrow"/>
                <w:sz w:val="18"/>
                <w:szCs w:val="18"/>
              </w:rPr>
              <w:t>000 ppm.</w:t>
            </w:r>
          </w:p>
          <w:p w:rsidR="00626CB5" w:rsidRPr="00626CB5" w:rsidRDefault="00626CB5" w:rsidP="00E45823">
            <w:pPr>
              <w:pStyle w:val="FootnoteText"/>
              <w:spacing w:after="120" w:line="240" w:lineRule="auto"/>
              <w:ind w:left="331" w:hanging="331"/>
              <w:rPr>
                <w:rFonts w:ascii="Arial Narrow" w:hAnsi="Arial Narrow" w:cs="Calibri"/>
                <w:color w:val="000000"/>
                <w:sz w:val="18"/>
                <w:szCs w:val="18"/>
              </w:rPr>
            </w:pPr>
            <w:r w:rsidRPr="00626CB5">
              <w:rPr>
                <w:rFonts w:ascii="Arial Narrow" w:hAnsi="Arial Narrow"/>
                <w:sz w:val="18"/>
                <w:szCs w:val="18"/>
                <w:vertAlign w:val="superscript"/>
              </w:rPr>
              <w:t>2</w:t>
            </w:r>
            <w:r w:rsidRPr="00626CB5">
              <w:rPr>
                <w:rFonts w:ascii="Arial Narrow" w:hAnsi="Arial Narrow"/>
                <w:sz w:val="18"/>
                <w:szCs w:val="18"/>
              </w:rPr>
              <w:tab/>
              <w:t>Hazard Zones for class 6 toxic substances varies greatly depending on possible routes of exposure</w:t>
            </w:r>
            <w:r>
              <w:rPr>
                <w:rFonts w:ascii="Arial Narrow" w:hAnsi="Arial Narrow"/>
                <w:sz w:val="18"/>
                <w:szCs w:val="18"/>
              </w:rPr>
              <w:t>.</w:t>
            </w:r>
          </w:p>
        </w:tc>
      </w:tr>
    </w:tbl>
    <w:p w:rsidR="004A1225" w:rsidRDefault="004A1225" w:rsidP="004A1225">
      <w:pPr>
        <w:pStyle w:val="ListParagraph"/>
        <w:ind w:left="540"/>
      </w:pPr>
    </w:p>
    <w:p w:rsidR="00E577DE" w:rsidRPr="004A1225" w:rsidRDefault="00644200" w:rsidP="00943268">
      <w:pPr>
        <w:pStyle w:val="ListParagraph"/>
        <w:numPr>
          <w:ilvl w:val="0"/>
          <w:numId w:val="34"/>
        </w:numPr>
        <w:ind w:left="360" w:hanging="180"/>
      </w:pPr>
      <w:r w:rsidRPr="004A1225">
        <w:t>Inner receptacles are</w:t>
      </w:r>
      <w:r w:rsidR="009A7D54" w:rsidRPr="004A1225">
        <w:t xml:space="preserve"> not liquid-full at 55 °C (131 °F), and</w:t>
      </w:r>
      <w:r w:rsidRPr="004A1225">
        <w:t xml:space="preserve"> are</w:t>
      </w:r>
      <w:r w:rsidR="009A7D54" w:rsidRPr="004A1225">
        <w:t xml:space="preserve"> constructed of plastic having a minimum thickness of no less than 0.2 m</w:t>
      </w:r>
      <w:r w:rsidR="00062780">
        <w:t>illi</w:t>
      </w:r>
      <w:r w:rsidR="009A7D54" w:rsidRPr="004A1225">
        <w:t>m</w:t>
      </w:r>
      <w:r w:rsidR="00062780">
        <w:t>eter</w:t>
      </w:r>
      <w:r w:rsidR="009A7D54" w:rsidRPr="004A1225">
        <w:t xml:space="preserve"> (0.008 inch), or </w:t>
      </w:r>
      <w:r w:rsidRPr="004A1225">
        <w:t>of earthenware, glass or metal.</w:t>
      </w:r>
    </w:p>
    <w:p w:rsidR="00644200" w:rsidRPr="004A1225" w:rsidRDefault="00644200" w:rsidP="00943268">
      <w:pPr>
        <w:pStyle w:val="ListParagraph"/>
        <w:numPr>
          <w:ilvl w:val="0"/>
          <w:numId w:val="34"/>
        </w:numPr>
        <w:ind w:left="360" w:hanging="180"/>
      </w:pPr>
      <w:r w:rsidRPr="004A1225">
        <w:t>Inner receptacles with removable closures (e.g.</w:t>
      </w:r>
      <w:r w:rsidR="00062780">
        <w:t>,</w:t>
      </w:r>
      <w:r w:rsidRPr="004A1225">
        <w:t xml:space="preserve"> caps or lids) are </w:t>
      </w:r>
      <w:r w:rsidR="00062780" w:rsidRPr="004A1225">
        <w:t>secur</w:t>
      </w:r>
      <w:r w:rsidR="00062780">
        <w:t>ely</w:t>
      </w:r>
      <w:r w:rsidR="00062780" w:rsidRPr="004A1225">
        <w:t xml:space="preserve"> </w:t>
      </w:r>
      <w:r w:rsidRPr="004A1225">
        <w:t>closed with tape or similar.</w:t>
      </w:r>
    </w:p>
    <w:p w:rsidR="00644200" w:rsidRPr="004A1225" w:rsidRDefault="00644200" w:rsidP="00943268">
      <w:pPr>
        <w:pStyle w:val="ListParagraph"/>
        <w:numPr>
          <w:ilvl w:val="0"/>
          <w:numId w:val="34"/>
        </w:numPr>
        <w:ind w:left="360" w:hanging="180"/>
      </w:pPr>
      <w:r w:rsidRPr="004A1225">
        <w:lastRenderedPageBreak/>
        <w:t xml:space="preserve">Inner receptacles are securely packed with sufficient cushioning to prevent breakage and enough absorbent material to contain the entire contents of the receptacle. </w:t>
      </w:r>
    </w:p>
    <w:p w:rsidR="00E577DE" w:rsidRPr="004A1225" w:rsidRDefault="00644200" w:rsidP="00943268">
      <w:pPr>
        <w:pStyle w:val="ListParagraph"/>
        <w:numPr>
          <w:ilvl w:val="0"/>
          <w:numId w:val="34"/>
        </w:numPr>
        <w:ind w:left="360" w:hanging="180"/>
      </w:pPr>
      <w:r w:rsidRPr="004A1225">
        <w:t>The inside packaging is securely packed in a strong outer packaging</w:t>
      </w:r>
      <w:r w:rsidR="00062780">
        <w:t>.</w:t>
      </w:r>
    </w:p>
    <w:p w:rsidR="009A7D54" w:rsidRPr="004A1225" w:rsidRDefault="009A7D54" w:rsidP="00943268">
      <w:pPr>
        <w:pStyle w:val="ListParagraph"/>
        <w:numPr>
          <w:ilvl w:val="0"/>
          <w:numId w:val="34"/>
        </w:numPr>
        <w:ind w:left="360" w:hanging="180"/>
      </w:pPr>
      <w:r w:rsidRPr="004A1225">
        <w:t>The gross mass of the completed package does not exceed 29 kg (64 pounds</w:t>
      </w:r>
      <w:r w:rsidR="00062780" w:rsidRPr="004A1225">
        <w:t>)</w:t>
      </w:r>
      <w:r w:rsidR="00062780">
        <w:t>.</w:t>
      </w:r>
    </w:p>
    <w:p w:rsidR="009A7D54" w:rsidRPr="004A1225" w:rsidRDefault="009A7D54" w:rsidP="00943268">
      <w:pPr>
        <w:pStyle w:val="ListParagraph"/>
        <w:numPr>
          <w:ilvl w:val="0"/>
          <w:numId w:val="34"/>
        </w:numPr>
        <w:ind w:left="360" w:hanging="180"/>
      </w:pPr>
      <w:r w:rsidRPr="004A1225">
        <w:t>The package is not opened or otherwise altered until it is no longer in commerce</w:t>
      </w:r>
      <w:r w:rsidR="00062780">
        <w:t>.</w:t>
      </w:r>
    </w:p>
    <w:p w:rsidR="009A7D54" w:rsidRDefault="009A7D54" w:rsidP="00943268">
      <w:pPr>
        <w:pStyle w:val="ListParagraph"/>
        <w:numPr>
          <w:ilvl w:val="0"/>
          <w:numId w:val="34"/>
        </w:numPr>
        <w:ind w:left="360" w:hanging="180"/>
      </w:pPr>
      <w:r w:rsidRPr="004A1225">
        <w:t>The shipper certifies conformance with this section by marking the outside of the package with the statement “This package conforms to 49 CFR 173.4 for domestic highway or rail transport only.”</w:t>
      </w:r>
    </w:p>
    <w:p w:rsidR="004A1225" w:rsidRPr="004A1225" w:rsidRDefault="004A1225" w:rsidP="004A1225">
      <w:pPr>
        <w:pStyle w:val="ListParagraph"/>
        <w:ind w:left="540"/>
      </w:pPr>
    </w:p>
    <w:p w:rsidR="009A7D54" w:rsidRPr="004A1225" w:rsidRDefault="009A7D54" w:rsidP="004A1225">
      <w:pPr>
        <w:spacing w:after="120"/>
        <w:rPr>
          <w:b/>
          <w:color w:val="4E74A2" w:themeColor="accent6" w:themeShade="BF"/>
        </w:rPr>
      </w:pPr>
      <w:r w:rsidRPr="004A1225">
        <w:rPr>
          <w:b/>
          <w:color w:val="4E74A2" w:themeColor="accent6" w:themeShade="BF"/>
        </w:rPr>
        <w:t>IATA/Air Transport</w:t>
      </w:r>
    </w:p>
    <w:p w:rsidR="00EB645E" w:rsidRPr="004A1225" w:rsidRDefault="00EB645E" w:rsidP="004A1225">
      <w:pPr>
        <w:spacing w:after="120"/>
        <w:rPr>
          <w:i/>
          <w:color w:val="595959" w:themeColor="text1" w:themeTint="A6"/>
        </w:rPr>
      </w:pPr>
      <w:r w:rsidRPr="004A1225">
        <w:rPr>
          <w:i/>
          <w:color w:val="595959" w:themeColor="text1" w:themeTint="A6"/>
        </w:rPr>
        <w:t>Excepted Quantity (IATA/Air Transport)</w:t>
      </w:r>
    </w:p>
    <w:p w:rsidR="000976D5" w:rsidRDefault="00EB645E" w:rsidP="004A1225">
      <w:r>
        <w:t xml:space="preserve">Dangerous goods that are shipped in small quantity </w:t>
      </w:r>
      <w:r w:rsidR="00644200">
        <w:t xml:space="preserve">by ground </w:t>
      </w:r>
      <w:r>
        <w:t>can be shipped as an excepted quantity</w:t>
      </w:r>
      <w:r w:rsidR="00644200">
        <w:t xml:space="preserve"> by air</w:t>
      </w:r>
      <w:r>
        <w:t>. Shipping hazardous materials as an excepted quantity eliminates some of the paper work requirements such as the Shippers Declaration of Dangerous Goods form. Dangerous goods in excepted quantities are not permitted in checked luggage, carry-on baggage or in the</w:t>
      </w:r>
      <w:r w:rsidR="00644200">
        <w:t xml:space="preserve"> general</w:t>
      </w:r>
      <w:r>
        <w:t xml:space="preserve"> mail.</w:t>
      </w:r>
      <w:r w:rsidR="0088738F">
        <w:t xml:space="preserve"> </w:t>
      </w:r>
      <w:r w:rsidR="00644200">
        <w:t>Use t</w:t>
      </w:r>
      <w:r w:rsidR="0088738F">
        <w:t xml:space="preserve">he following label to indicate that a package is containing an Expected Quantity. There is space to add the primary hazard class, division and the name of the shipper or consignee </w:t>
      </w:r>
      <w:r w:rsidR="000976D5">
        <w:t xml:space="preserve">if </w:t>
      </w:r>
      <w:r w:rsidR="0088738F">
        <w:t xml:space="preserve">applicable.  </w:t>
      </w:r>
    </w:p>
    <w:p w:rsidR="00644200" w:rsidRDefault="00E05B39" w:rsidP="00086D18">
      <w:pPr>
        <w:jc w:val="center"/>
        <w:rPr>
          <w:rFonts w:asciiTheme="minorHAnsi" w:hAnsiTheme="minorHAnsi" w:cstheme="minorHAnsi"/>
          <w:sz w:val="22"/>
          <w:szCs w:val="22"/>
        </w:rPr>
      </w:pPr>
      <w:r>
        <w:rPr>
          <w:noProof/>
        </w:rPr>
        <w:drawing>
          <wp:inline distT="0" distB="0" distL="0" distR="0">
            <wp:extent cx="3648075" cy="1600200"/>
            <wp:effectExtent l="19050" t="0" r="9525" b="0"/>
            <wp:docPr id="1" name="Picture 1" descr="1610_51814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10_51814_0.png"/>
                    <pic:cNvPicPr>
                      <a:picLocks noChangeAspect="1" noChangeArrowheads="1"/>
                    </pic:cNvPicPr>
                  </pic:nvPicPr>
                  <pic:blipFill>
                    <a:blip r:embed="rId8" cstate="print"/>
                    <a:srcRect/>
                    <a:stretch>
                      <a:fillRect/>
                    </a:stretch>
                  </pic:blipFill>
                  <pic:spPr bwMode="auto">
                    <a:xfrm>
                      <a:off x="0" y="0"/>
                      <a:ext cx="3648075" cy="1600200"/>
                    </a:xfrm>
                    <a:prstGeom prst="rect">
                      <a:avLst/>
                    </a:prstGeom>
                    <a:noFill/>
                    <a:ln w="9525">
                      <a:noFill/>
                      <a:miter lim="800000"/>
                      <a:headEnd/>
                      <a:tailEnd/>
                    </a:ln>
                  </pic:spPr>
                </pic:pic>
              </a:graphicData>
            </a:graphic>
          </wp:inline>
        </w:drawing>
      </w:r>
    </w:p>
    <w:p w:rsidR="00EB645E" w:rsidRDefault="00EB645E" w:rsidP="00391C55">
      <w:pPr>
        <w:spacing w:line="240" w:lineRule="auto"/>
      </w:pPr>
    </w:p>
    <w:p w:rsidR="00AE7478" w:rsidRDefault="00AE7478" w:rsidP="004A1225">
      <w:r>
        <w:t>Each material listed in the List of Dangerous Goods found in the IATA DGR has an EQ Code that indicates whether or not it can be shipped as an Excepted Quantity and in what amounts.</w:t>
      </w:r>
    </w:p>
    <w:p w:rsidR="004A1225" w:rsidRDefault="004A1225" w:rsidP="00391C55">
      <w:pPr>
        <w:spacing w:line="240" w:lineRule="auto"/>
      </w:pPr>
    </w:p>
    <w:p w:rsidR="00AE7478" w:rsidRDefault="00E05B39" w:rsidP="00EB645E">
      <w:pPr>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extent cx="5943600" cy="29813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t="2795"/>
                    <a:stretch>
                      <a:fillRect/>
                    </a:stretch>
                  </pic:blipFill>
                  <pic:spPr bwMode="auto">
                    <a:xfrm>
                      <a:off x="0" y="0"/>
                      <a:ext cx="5943600" cy="2981325"/>
                    </a:xfrm>
                    <a:prstGeom prst="rect">
                      <a:avLst/>
                    </a:prstGeom>
                    <a:noFill/>
                    <a:ln w="9525">
                      <a:noFill/>
                      <a:miter lim="800000"/>
                      <a:headEnd/>
                      <a:tailEnd/>
                    </a:ln>
                  </pic:spPr>
                </pic:pic>
              </a:graphicData>
            </a:graphic>
          </wp:inline>
        </w:drawing>
      </w:r>
    </w:p>
    <w:p w:rsidR="00AE7478" w:rsidRDefault="00AE7478" w:rsidP="004A1225"/>
    <w:p w:rsidR="00EB645E" w:rsidRDefault="00AE7478" w:rsidP="004A1225">
      <w:r>
        <w:t>Use the</w:t>
      </w:r>
      <w:r w:rsidR="00EB645E">
        <w:t xml:space="preserve"> following table </w:t>
      </w:r>
      <w:r>
        <w:t xml:space="preserve">to determine what </w:t>
      </w:r>
      <w:r w:rsidR="00EB645E">
        <w:t xml:space="preserve">amount per </w:t>
      </w:r>
      <w:proofErr w:type="spellStart"/>
      <w:r w:rsidR="00EB645E">
        <w:t>inner</w:t>
      </w:r>
      <w:proofErr w:type="spellEnd"/>
      <w:r w:rsidR="00EB645E">
        <w:t xml:space="preserve"> packaging and amount per total package</w:t>
      </w:r>
      <w:r>
        <w:t xml:space="preserve"> may be shipped as an Excepted Quantity based on the material’s EQ code</w:t>
      </w:r>
      <w:r w:rsidR="00EB645E">
        <w:t xml:space="preserve">. </w:t>
      </w:r>
    </w:p>
    <w:p w:rsidR="00AE7478" w:rsidRDefault="00AE7478" w:rsidP="004A1225"/>
    <w:tbl>
      <w:tblPr>
        <w:tblW w:w="9360" w:type="dxa"/>
        <w:tblLayout w:type="fixed"/>
        <w:tblLook w:val="04A0" w:firstRow="1" w:lastRow="0" w:firstColumn="1" w:lastColumn="0" w:noHBand="0" w:noVBand="1"/>
      </w:tblPr>
      <w:tblGrid>
        <w:gridCol w:w="1403"/>
        <w:gridCol w:w="3934"/>
        <w:gridCol w:w="4023"/>
      </w:tblGrid>
      <w:tr w:rsidR="00EB645E" w:rsidRPr="004A1225" w:rsidTr="00D161A6">
        <w:trPr>
          <w:trHeight w:val="432"/>
        </w:trPr>
        <w:tc>
          <w:tcPr>
            <w:tcW w:w="1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B645E" w:rsidRPr="00410336" w:rsidRDefault="00EB645E" w:rsidP="000F4F5B">
            <w:pPr>
              <w:spacing w:line="240" w:lineRule="auto"/>
              <w:jc w:val="center"/>
              <w:rPr>
                <w:rFonts w:ascii="Arial Narrow" w:hAnsi="Arial Narrow" w:cs="Calibri"/>
                <w:b/>
                <w:bCs/>
                <w:color w:val="000000"/>
                <w:sz w:val="20"/>
                <w:szCs w:val="20"/>
              </w:rPr>
            </w:pPr>
            <w:r w:rsidRPr="00410336">
              <w:rPr>
                <w:rFonts w:ascii="Arial Narrow" w:hAnsi="Arial Narrow" w:cs="Calibri"/>
                <w:b/>
                <w:bCs/>
                <w:color w:val="000000"/>
                <w:sz w:val="20"/>
                <w:szCs w:val="20"/>
              </w:rPr>
              <w:t>Code</w:t>
            </w:r>
          </w:p>
        </w:tc>
        <w:tc>
          <w:tcPr>
            <w:tcW w:w="402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EB645E" w:rsidRPr="00410336" w:rsidRDefault="00EB645E" w:rsidP="000F4F5B">
            <w:pPr>
              <w:spacing w:line="240" w:lineRule="auto"/>
              <w:jc w:val="center"/>
              <w:rPr>
                <w:rFonts w:ascii="Arial Narrow" w:hAnsi="Arial Narrow" w:cs="Calibri"/>
                <w:b/>
                <w:bCs/>
                <w:color w:val="000000"/>
                <w:sz w:val="20"/>
                <w:szCs w:val="20"/>
              </w:rPr>
            </w:pPr>
            <w:r w:rsidRPr="00410336">
              <w:rPr>
                <w:rFonts w:ascii="Arial Narrow" w:hAnsi="Arial Narrow" w:cs="Calibri"/>
                <w:b/>
                <w:bCs/>
                <w:color w:val="000000"/>
                <w:sz w:val="20"/>
                <w:szCs w:val="20"/>
              </w:rPr>
              <w:t xml:space="preserve">Maximum </w:t>
            </w:r>
            <w:r w:rsidR="00C103AD" w:rsidRPr="00062780">
              <w:rPr>
                <w:rFonts w:ascii="Arial Narrow" w:hAnsi="Arial Narrow" w:cs="Calibri"/>
                <w:b/>
                <w:bCs/>
                <w:color w:val="000000"/>
                <w:sz w:val="20"/>
                <w:szCs w:val="20"/>
              </w:rPr>
              <w:t>Net Q</w:t>
            </w:r>
            <w:r w:rsidRPr="00410336">
              <w:rPr>
                <w:rFonts w:ascii="Arial Narrow" w:hAnsi="Arial Narrow" w:cs="Calibri"/>
                <w:b/>
                <w:bCs/>
                <w:color w:val="000000"/>
                <w:sz w:val="20"/>
                <w:szCs w:val="20"/>
              </w:rPr>
              <w:t xml:space="preserve">uanity </w:t>
            </w:r>
            <w:r w:rsidR="00C103AD" w:rsidRPr="00062780">
              <w:rPr>
                <w:rFonts w:ascii="Arial Narrow" w:hAnsi="Arial Narrow" w:cs="Calibri"/>
                <w:b/>
                <w:bCs/>
                <w:color w:val="000000"/>
                <w:sz w:val="20"/>
                <w:szCs w:val="20"/>
              </w:rPr>
              <w:t>P</w:t>
            </w:r>
            <w:r w:rsidRPr="00410336">
              <w:rPr>
                <w:rFonts w:ascii="Arial Narrow" w:hAnsi="Arial Narrow" w:cs="Calibri"/>
                <w:b/>
                <w:bCs/>
                <w:color w:val="000000"/>
                <w:sz w:val="20"/>
                <w:szCs w:val="20"/>
              </w:rPr>
              <w:t>er Inner Packaging</w:t>
            </w:r>
          </w:p>
        </w:tc>
        <w:tc>
          <w:tcPr>
            <w:tcW w:w="411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EB645E" w:rsidRPr="00410336" w:rsidRDefault="00EB645E" w:rsidP="000F4F5B">
            <w:pPr>
              <w:spacing w:line="240" w:lineRule="auto"/>
              <w:jc w:val="center"/>
              <w:rPr>
                <w:rFonts w:ascii="Arial Narrow" w:hAnsi="Arial Narrow" w:cs="Calibri"/>
                <w:b/>
                <w:bCs/>
                <w:color w:val="000000"/>
                <w:sz w:val="20"/>
                <w:szCs w:val="20"/>
              </w:rPr>
            </w:pPr>
            <w:r w:rsidRPr="00410336">
              <w:rPr>
                <w:rFonts w:ascii="Arial Narrow" w:hAnsi="Arial Narrow" w:cs="Calibri"/>
                <w:b/>
                <w:bCs/>
                <w:color w:val="000000"/>
                <w:sz w:val="20"/>
                <w:szCs w:val="20"/>
              </w:rPr>
              <w:t xml:space="preserve">Maximum </w:t>
            </w:r>
            <w:r w:rsidR="00C103AD" w:rsidRPr="00062780">
              <w:rPr>
                <w:rFonts w:ascii="Arial Narrow" w:hAnsi="Arial Narrow" w:cs="Calibri"/>
                <w:b/>
                <w:bCs/>
                <w:color w:val="000000"/>
                <w:sz w:val="20"/>
                <w:szCs w:val="20"/>
              </w:rPr>
              <w:t>Net Quantity Per Outer P</w:t>
            </w:r>
            <w:r w:rsidRPr="00410336">
              <w:rPr>
                <w:rFonts w:ascii="Arial Narrow" w:hAnsi="Arial Narrow" w:cs="Calibri"/>
                <w:b/>
                <w:bCs/>
                <w:color w:val="000000"/>
                <w:sz w:val="20"/>
                <w:szCs w:val="20"/>
              </w:rPr>
              <w:t>ackaging</w:t>
            </w:r>
          </w:p>
        </w:tc>
      </w:tr>
      <w:tr w:rsidR="00EB645E" w:rsidRPr="004A1225" w:rsidTr="00D161A6">
        <w:trPr>
          <w:trHeight w:val="305"/>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EB645E" w:rsidRPr="00410336" w:rsidRDefault="00EB645E" w:rsidP="000F4F5B">
            <w:pPr>
              <w:spacing w:line="240" w:lineRule="auto"/>
              <w:jc w:val="center"/>
              <w:rPr>
                <w:rFonts w:ascii="Arial Narrow" w:hAnsi="Arial Narrow" w:cs="Calibri"/>
                <w:color w:val="000000"/>
                <w:sz w:val="20"/>
                <w:szCs w:val="20"/>
              </w:rPr>
            </w:pPr>
            <w:r w:rsidRPr="00410336">
              <w:rPr>
                <w:rFonts w:ascii="Arial Narrow" w:hAnsi="Arial Narrow" w:cs="Calibri"/>
                <w:color w:val="000000"/>
                <w:sz w:val="20"/>
                <w:szCs w:val="20"/>
              </w:rPr>
              <w:t>E0</w:t>
            </w:r>
          </w:p>
        </w:tc>
        <w:tc>
          <w:tcPr>
            <w:tcW w:w="81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B645E" w:rsidRPr="00410336" w:rsidRDefault="00EB645E" w:rsidP="000F4F5B">
            <w:pPr>
              <w:spacing w:line="240" w:lineRule="auto"/>
              <w:jc w:val="center"/>
              <w:rPr>
                <w:rFonts w:ascii="Arial Narrow" w:hAnsi="Arial Narrow" w:cs="Calibri"/>
                <w:color w:val="000000"/>
                <w:sz w:val="20"/>
                <w:szCs w:val="20"/>
              </w:rPr>
            </w:pPr>
            <w:r w:rsidRPr="00410336">
              <w:rPr>
                <w:rFonts w:ascii="Arial Narrow" w:hAnsi="Arial Narrow" w:cs="Calibri"/>
                <w:color w:val="000000"/>
                <w:sz w:val="20"/>
                <w:szCs w:val="20"/>
              </w:rPr>
              <w:t>Not permitted as Excepted Quantity</w:t>
            </w:r>
          </w:p>
        </w:tc>
      </w:tr>
      <w:tr w:rsidR="00EB645E" w:rsidRPr="004A1225" w:rsidTr="00D161A6">
        <w:trPr>
          <w:trHeight w:val="305"/>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EB645E" w:rsidRPr="00410336" w:rsidRDefault="00EB645E" w:rsidP="000F4F5B">
            <w:pPr>
              <w:spacing w:line="240" w:lineRule="auto"/>
              <w:jc w:val="center"/>
              <w:rPr>
                <w:rFonts w:ascii="Arial Narrow" w:hAnsi="Arial Narrow" w:cs="Calibri"/>
                <w:color w:val="000000"/>
                <w:sz w:val="20"/>
                <w:szCs w:val="20"/>
              </w:rPr>
            </w:pPr>
            <w:r w:rsidRPr="00410336">
              <w:rPr>
                <w:rFonts w:ascii="Arial Narrow" w:hAnsi="Arial Narrow" w:cs="Calibri"/>
                <w:color w:val="000000"/>
                <w:sz w:val="20"/>
                <w:szCs w:val="20"/>
              </w:rPr>
              <w:t>E1</w:t>
            </w:r>
          </w:p>
        </w:tc>
        <w:tc>
          <w:tcPr>
            <w:tcW w:w="4024" w:type="dxa"/>
            <w:tcBorders>
              <w:top w:val="nil"/>
              <w:left w:val="nil"/>
              <w:bottom w:val="single" w:sz="4" w:space="0" w:color="auto"/>
              <w:right w:val="single" w:sz="4" w:space="0" w:color="auto"/>
            </w:tcBorders>
            <w:shd w:val="clear" w:color="auto" w:fill="auto"/>
            <w:noWrap/>
            <w:vAlign w:val="center"/>
            <w:hideMark/>
          </w:tcPr>
          <w:p w:rsidR="00EB645E" w:rsidRPr="00410336" w:rsidRDefault="00EB645E" w:rsidP="000F4F5B">
            <w:pPr>
              <w:spacing w:line="240" w:lineRule="auto"/>
              <w:jc w:val="center"/>
              <w:rPr>
                <w:rFonts w:ascii="Arial Narrow" w:hAnsi="Arial Narrow" w:cs="Calibri"/>
                <w:color w:val="000000"/>
                <w:sz w:val="20"/>
                <w:szCs w:val="20"/>
              </w:rPr>
            </w:pPr>
            <w:r w:rsidRPr="00410336">
              <w:rPr>
                <w:rFonts w:ascii="Arial Narrow" w:hAnsi="Arial Narrow" w:cs="Calibri"/>
                <w:color w:val="000000"/>
                <w:sz w:val="20"/>
                <w:szCs w:val="20"/>
              </w:rPr>
              <w:t>30 g</w:t>
            </w:r>
            <w:r w:rsidR="00062780">
              <w:rPr>
                <w:rFonts w:ascii="Arial Narrow" w:hAnsi="Arial Narrow" w:cs="Calibri"/>
                <w:color w:val="000000"/>
                <w:sz w:val="20"/>
                <w:szCs w:val="20"/>
              </w:rPr>
              <w:t xml:space="preserve"> </w:t>
            </w:r>
            <w:r w:rsidRPr="00410336">
              <w:rPr>
                <w:rFonts w:ascii="Arial Narrow" w:hAnsi="Arial Narrow" w:cs="Calibri"/>
                <w:color w:val="000000"/>
                <w:sz w:val="20"/>
                <w:szCs w:val="20"/>
              </w:rPr>
              <w:t>/</w:t>
            </w:r>
            <w:r w:rsidR="00062780">
              <w:rPr>
                <w:rFonts w:ascii="Arial Narrow" w:hAnsi="Arial Narrow" w:cs="Calibri"/>
                <w:color w:val="000000"/>
                <w:sz w:val="20"/>
                <w:szCs w:val="20"/>
              </w:rPr>
              <w:t xml:space="preserve"> </w:t>
            </w:r>
            <w:r w:rsidRPr="00410336">
              <w:rPr>
                <w:rFonts w:ascii="Arial Narrow" w:hAnsi="Arial Narrow" w:cs="Calibri"/>
                <w:color w:val="000000"/>
                <w:sz w:val="20"/>
                <w:szCs w:val="20"/>
              </w:rPr>
              <w:t>30 mL</w:t>
            </w:r>
          </w:p>
        </w:tc>
        <w:tc>
          <w:tcPr>
            <w:tcW w:w="4115" w:type="dxa"/>
            <w:tcBorders>
              <w:top w:val="nil"/>
              <w:left w:val="nil"/>
              <w:bottom w:val="single" w:sz="4" w:space="0" w:color="auto"/>
              <w:right w:val="single" w:sz="4" w:space="0" w:color="auto"/>
            </w:tcBorders>
            <w:shd w:val="clear" w:color="auto" w:fill="auto"/>
            <w:noWrap/>
            <w:vAlign w:val="center"/>
            <w:hideMark/>
          </w:tcPr>
          <w:p w:rsidR="00EB645E" w:rsidRPr="00410336" w:rsidRDefault="00EB645E" w:rsidP="000F4F5B">
            <w:pPr>
              <w:spacing w:line="240" w:lineRule="auto"/>
              <w:jc w:val="center"/>
              <w:rPr>
                <w:rFonts w:ascii="Arial Narrow" w:hAnsi="Arial Narrow" w:cs="Calibri"/>
                <w:color w:val="000000"/>
                <w:sz w:val="20"/>
                <w:szCs w:val="20"/>
              </w:rPr>
            </w:pPr>
            <w:r w:rsidRPr="00410336">
              <w:rPr>
                <w:rFonts w:ascii="Arial Narrow" w:hAnsi="Arial Narrow" w:cs="Calibri"/>
                <w:color w:val="000000"/>
                <w:sz w:val="20"/>
                <w:szCs w:val="20"/>
              </w:rPr>
              <w:t>1 kg</w:t>
            </w:r>
            <w:r w:rsidR="00062780">
              <w:rPr>
                <w:rFonts w:ascii="Arial Narrow" w:hAnsi="Arial Narrow" w:cs="Calibri"/>
                <w:color w:val="000000"/>
                <w:sz w:val="20"/>
                <w:szCs w:val="20"/>
              </w:rPr>
              <w:t xml:space="preserve"> </w:t>
            </w:r>
            <w:r w:rsidRPr="00410336">
              <w:rPr>
                <w:rFonts w:ascii="Arial Narrow" w:hAnsi="Arial Narrow" w:cs="Calibri"/>
                <w:color w:val="000000"/>
                <w:sz w:val="20"/>
                <w:szCs w:val="20"/>
              </w:rPr>
              <w:t>/</w:t>
            </w:r>
            <w:r w:rsidR="00062780">
              <w:rPr>
                <w:rFonts w:ascii="Arial Narrow" w:hAnsi="Arial Narrow" w:cs="Calibri"/>
                <w:color w:val="000000"/>
                <w:sz w:val="20"/>
                <w:szCs w:val="20"/>
              </w:rPr>
              <w:t xml:space="preserve"> </w:t>
            </w:r>
            <w:r w:rsidRPr="00410336">
              <w:rPr>
                <w:rFonts w:ascii="Arial Narrow" w:hAnsi="Arial Narrow" w:cs="Calibri"/>
                <w:color w:val="000000"/>
                <w:sz w:val="20"/>
                <w:szCs w:val="20"/>
              </w:rPr>
              <w:t>1 L</w:t>
            </w:r>
          </w:p>
        </w:tc>
      </w:tr>
      <w:tr w:rsidR="00EB645E" w:rsidRPr="004A1225" w:rsidTr="00D161A6">
        <w:trPr>
          <w:trHeight w:val="305"/>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EB645E" w:rsidRPr="00410336" w:rsidRDefault="00EB645E" w:rsidP="000F4F5B">
            <w:pPr>
              <w:spacing w:line="240" w:lineRule="auto"/>
              <w:jc w:val="center"/>
              <w:rPr>
                <w:rFonts w:ascii="Arial Narrow" w:hAnsi="Arial Narrow" w:cs="Calibri"/>
                <w:color w:val="000000"/>
                <w:sz w:val="20"/>
                <w:szCs w:val="20"/>
              </w:rPr>
            </w:pPr>
            <w:r w:rsidRPr="00410336">
              <w:rPr>
                <w:rFonts w:ascii="Arial Narrow" w:hAnsi="Arial Narrow" w:cs="Calibri"/>
                <w:color w:val="000000"/>
                <w:sz w:val="20"/>
                <w:szCs w:val="20"/>
              </w:rPr>
              <w:t>E2</w:t>
            </w:r>
          </w:p>
        </w:tc>
        <w:tc>
          <w:tcPr>
            <w:tcW w:w="4024" w:type="dxa"/>
            <w:tcBorders>
              <w:top w:val="nil"/>
              <w:left w:val="nil"/>
              <w:bottom w:val="single" w:sz="4" w:space="0" w:color="auto"/>
              <w:right w:val="single" w:sz="4" w:space="0" w:color="auto"/>
            </w:tcBorders>
            <w:shd w:val="clear" w:color="auto" w:fill="auto"/>
            <w:noWrap/>
            <w:vAlign w:val="center"/>
            <w:hideMark/>
          </w:tcPr>
          <w:p w:rsidR="00EB645E" w:rsidRPr="00410336" w:rsidRDefault="00EB645E" w:rsidP="000F4F5B">
            <w:pPr>
              <w:spacing w:line="240" w:lineRule="auto"/>
              <w:jc w:val="center"/>
              <w:rPr>
                <w:rFonts w:ascii="Arial Narrow" w:hAnsi="Arial Narrow" w:cs="Calibri"/>
                <w:color w:val="000000"/>
                <w:sz w:val="20"/>
                <w:szCs w:val="20"/>
              </w:rPr>
            </w:pPr>
            <w:r w:rsidRPr="00410336">
              <w:rPr>
                <w:rFonts w:ascii="Arial Narrow" w:hAnsi="Arial Narrow" w:cs="Calibri"/>
                <w:color w:val="000000"/>
                <w:sz w:val="20"/>
                <w:szCs w:val="20"/>
              </w:rPr>
              <w:t>30 g</w:t>
            </w:r>
            <w:r w:rsidR="00062780">
              <w:rPr>
                <w:rFonts w:ascii="Arial Narrow" w:hAnsi="Arial Narrow" w:cs="Calibri"/>
                <w:color w:val="000000"/>
                <w:sz w:val="20"/>
                <w:szCs w:val="20"/>
              </w:rPr>
              <w:t xml:space="preserve"> </w:t>
            </w:r>
            <w:r w:rsidRPr="00410336">
              <w:rPr>
                <w:rFonts w:ascii="Arial Narrow" w:hAnsi="Arial Narrow" w:cs="Calibri"/>
                <w:color w:val="000000"/>
                <w:sz w:val="20"/>
                <w:szCs w:val="20"/>
              </w:rPr>
              <w:t>/</w:t>
            </w:r>
            <w:r w:rsidR="00062780">
              <w:rPr>
                <w:rFonts w:ascii="Arial Narrow" w:hAnsi="Arial Narrow" w:cs="Calibri"/>
                <w:color w:val="000000"/>
                <w:sz w:val="20"/>
                <w:szCs w:val="20"/>
              </w:rPr>
              <w:t xml:space="preserve"> </w:t>
            </w:r>
            <w:r w:rsidRPr="00410336">
              <w:rPr>
                <w:rFonts w:ascii="Arial Narrow" w:hAnsi="Arial Narrow" w:cs="Calibri"/>
                <w:color w:val="000000"/>
                <w:sz w:val="20"/>
                <w:szCs w:val="20"/>
              </w:rPr>
              <w:t>30 mL</w:t>
            </w:r>
          </w:p>
        </w:tc>
        <w:tc>
          <w:tcPr>
            <w:tcW w:w="4115" w:type="dxa"/>
            <w:tcBorders>
              <w:top w:val="nil"/>
              <w:left w:val="nil"/>
              <w:bottom w:val="single" w:sz="4" w:space="0" w:color="auto"/>
              <w:right w:val="single" w:sz="4" w:space="0" w:color="auto"/>
            </w:tcBorders>
            <w:shd w:val="clear" w:color="auto" w:fill="auto"/>
            <w:noWrap/>
            <w:vAlign w:val="center"/>
            <w:hideMark/>
          </w:tcPr>
          <w:p w:rsidR="00EB645E" w:rsidRPr="00410336" w:rsidRDefault="00EB645E" w:rsidP="000F4F5B">
            <w:pPr>
              <w:spacing w:line="240" w:lineRule="auto"/>
              <w:jc w:val="center"/>
              <w:rPr>
                <w:rFonts w:ascii="Arial Narrow" w:hAnsi="Arial Narrow" w:cs="Calibri"/>
                <w:color w:val="000000"/>
                <w:sz w:val="20"/>
                <w:szCs w:val="20"/>
              </w:rPr>
            </w:pPr>
            <w:r w:rsidRPr="00410336">
              <w:rPr>
                <w:rFonts w:ascii="Arial Narrow" w:hAnsi="Arial Narrow" w:cs="Calibri"/>
                <w:color w:val="000000"/>
                <w:sz w:val="20"/>
                <w:szCs w:val="20"/>
              </w:rPr>
              <w:t>500 g</w:t>
            </w:r>
            <w:r w:rsidR="00062780">
              <w:rPr>
                <w:rFonts w:ascii="Arial Narrow" w:hAnsi="Arial Narrow" w:cs="Calibri"/>
                <w:color w:val="000000"/>
                <w:sz w:val="20"/>
                <w:szCs w:val="20"/>
              </w:rPr>
              <w:t xml:space="preserve"> </w:t>
            </w:r>
            <w:r w:rsidRPr="00410336">
              <w:rPr>
                <w:rFonts w:ascii="Arial Narrow" w:hAnsi="Arial Narrow" w:cs="Calibri"/>
                <w:color w:val="000000"/>
                <w:sz w:val="20"/>
                <w:szCs w:val="20"/>
              </w:rPr>
              <w:t>/</w:t>
            </w:r>
            <w:r w:rsidR="00062780">
              <w:rPr>
                <w:rFonts w:ascii="Arial Narrow" w:hAnsi="Arial Narrow" w:cs="Calibri"/>
                <w:color w:val="000000"/>
                <w:sz w:val="20"/>
                <w:szCs w:val="20"/>
              </w:rPr>
              <w:t xml:space="preserve"> </w:t>
            </w:r>
            <w:r w:rsidRPr="00410336">
              <w:rPr>
                <w:rFonts w:ascii="Arial Narrow" w:hAnsi="Arial Narrow" w:cs="Calibri"/>
                <w:color w:val="000000"/>
                <w:sz w:val="20"/>
                <w:szCs w:val="20"/>
              </w:rPr>
              <w:t>500 mL</w:t>
            </w:r>
          </w:p>
        </w:tc>
      </w:tr>
      <w:tr w:rsidR="00EB645E" w:rsidRPr="004A1225" w:rsidTr="00D161A6">
        <w:trPr>
          <w:trHeight w:val="305"/>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EB645E" w:rsidRPr="00410336" w:rsidRDefault="00EB645E" w:rsidP="000F4F5B">
            <w:pPr>
              <w:spacing w:line="240" w:lineRule="auto"/>
              <w:jc w:val="center"/>
              <w:rPr>
                <w:rFonts w:ascii="Arial Narrow" w:hAnsi="Arial Narrow" w:cs="Calibri"/>
                <w:color w:val="000000"/>
                <w:sz w:val="20"/>
                <w:szCs w:val="20"/>
              </w:rPr>
            </w:pPr>
            <w:r w:rsidRPr="00410336">
              <w:rPr>
                <w:rFonts w:ascii="Arial Narrow" w:hAnsi="Arial Narrow" w:cs="Calibri"/>
                <w:color w:val="000000"/>
                <w:sz w:val="20"/>
                <w:szCs w:val="20"/>
              </w:rPr>
              <w:t>E3</w:t>
            </w:r>
          </w:p>
        </w:tc>
        <w:tc>
          <w:tcPr>
            <w:tcW w:w="4024" w:type="dxa"/>
            <w:tcBorders>
              <w:top w:val="nil"/>
              <w:left w:val="nil"/>
              <w:bottom w:val="single" w:sz="4" w:space="0" w:color="auto"/>
              <w:right w:val="single" w:sz="4" w:space="0" w:color="auto"/>
            </w:tcBorders>
            <w:shd w:val="clear" w:color="auto" w:fill="auto"/>
            <w:noWrap/>
            <w:vAlign w:val="center"/>
            <w:hideMark/>
          </w:tcPr>
          <w:p w:rsidR="00EB645E" w:rsidRPr="00410336" w:rsidRDefault="00EB645E" w:rsidP="000F4F5B">
            <w:pPr>
              <w:spacing w:line="240" w:lineRule="auto"/>
              <w:jc w:val="center"/>
              <w:rPr>
                <w:rFonts w:ascii="Arial Narrow" w:hAnsi="Arial Narrow" w:cs="Calibri"/>
                <w:color w:val="000000"/>
                <w:sz w:val="20"/>
                <w:szCs w:val="20"/>
              </w:rPr>
            </w:pPr>
            <w:r w:rsidRPr="00410336">
              <w:rPr>
                <w:rFonts w:ascii="Arial Narrow" w:hAnsi="Arial Narrow" w:cs="Calibri"/>
                <w:color w:val="000000"/>
                <w:sz w:val="20"/>
                <w:szCs w:val="20"/>
              </w:rPr>
              <w:t>30 g</w:t>
            </w:r>
            <w:r w:rsidR="00062780">
              <w:rPr>
                <w:rFonts w:ascii="Arial Narrow" w:hAnsi="Arial Narrow" w:cs="Calibri"/>
                <w:color w:val="000000"/>
                <w:sz w:val="20"/>
                <w:szCs w:val="20"/>
              </w:rPr>
              <w:t xml:space="preserve"> </w:t>
            </w:r>
            <w:r w:rsidRPr="00410336">
              <w:rPr>
                <w:rFonts w:ascii="Arial Narrow" w:hAnsi="Arial Narrow" w:cs="Calibri"/>
                <w:color w:val="000000"/>
                <w:sz w:val="20"/>
                <w:szCs w:val="20"/>
              </w:rPr>
              <w:t>/</w:t>
            </w:r>
            <w:r w:rsidR="00062780">
              <w:rPr>
                <w:rFonts w:ascii="Arial Narrow" w:hAnsi="Arial Narrow" w:cs="Calibri"/>
                <w:color w:val="000000"/>
                <w:sz w:val="20"/>
                <w:szCs w:val="20"/>
              </w:rPr>
              <w:t xml:space="preserve"> </w:t>
            </w:r>
            <w:r w:rsidRPr="00410336">
              <w:rPr>
                <w:rFonts w:ascii="Arial Narrow" w:hAnsi="Arial Narrow" w:cs="Calibri"/>
                <w:color w:val="000000"/>
                <w:sz w:val="20"/>
                <w:szCs w:val="20"/>
              </w:rPr>
              <w:t>30 mL</w:t>
            </w:r>
          </w:p>
        </w:tc>
        <w:tc>
          <w:tcPr>
            <w:tcW w:w="4115" w:type="dxa"/>
            <w:tcBorders>
              <w:top w:val="nil"/>
              <w:left w:val="nil"/>
              <w:bottom w:val="single" w:sz="4" w:space="0" w:color="auto"/>
              <w:right w:val="single" w:sz="4" w:space="0" w:color="auto"/>
            </w:tcBorders>
            <w:shd w:val="clear" w:color="auto" w:fill="auto"/>
            <w:noWrap/>
            <w:vAlign w:val="center"/>
            <w:hideMark/>
          </w:tcPr>
          <w:p w:rsidR="00EB645E" w:rsidRPr="00410336" w:rsidRDefault="00EB645E" w:rsidP="000F4F5B">
            <w:pPr>
              <w:spacing w:line="240" w:lineRule="auto"/>
              <w:jc w:val="center"/>
              <w:rPr>
                <w:rFonts w:ascii="Arial Narrow" w:hAnsi="Arial Narrow" w:cs="Calibri"/>
                <w:color w:val="000000"/>
                <w:sz w:val="20"/>
                <w:szCs w:val="20"/>
              </w:rPr>
            </w:pPr>
            <w:r w:rsidRPr="00410336">
              <w:rPr>
                <w:rFonts w:ascii="Arial Narrow" w:hAnsi="Arial Narrow" w:cs="Calibri"/>
                <w:color w:val="000000"/>
                <w:sz w:val="20"/>
                <w:szCs w:val="20"/>
              </w:rPr>
              <w:t>300 g</w:t>
            </w:r>
            <w:r w:rsidR="00062780">
              <w:rPr>
                <w:rFonts w:ascii="Arial Narrow" w:hAnsi="Arial Narrow" w:cs="Calibri"/>
                <w:color w:val="000000"/>
                <w:sz w:val="20"/>
                <w:szCs w:val="20"/>
              </w:rPr>
              <w:t xml:space="preserve"> </w:t>
            </w:r>
            <w:r w:rsidRPr="00410336">
              <w:rPr>
                <w:rFonts w:ascii="Arial Narrow" w:hAnsi="Arial Narrow" w:cs="Calibri"/>
                <w:color w:val="000000"/>
                <w:sz w:val="20"/>
                <w:szCs w:val="20"/>
              </w:rPr>
              <w:t>/</w:t>
            </w:r>
            <w:r w:rsidR="00062780">
              <w:rPr>
                <w:rFonts w:ascii="Arial Narrow" w:hAnsi="Arial Narrow" w:cs="Calibri"/>
                <w:color w:val="000000"/>
                <w:sz w:val="20"/>
                <w:szCs w:val="20"/>
              </w:rPr>
              <w:t xml:space="preserve"> </w:t>
            </w:r>
            <w:r w:rsidRPr="00410336">
              <w:rPr>
                <w:rFonts w:ascii="Arial Narrow" w:hAnsi="Arial Narrow" w:cs="Calibri"/>
                <w:color w:val="000000"/>
                <w:sz w:val="20"/>
                <w:szCs w:val="20"/>
              </w:rPr>
              <w:t>300 mL</w:t>
            </w:r>
          </w:p>
        </w:tc>
      </w:tr>
      <w:tr w:rsidR="00EB645E" w:rsidRPr="004A1225" w:rsidTr="00D161A6">
        <w:trPr>
          <w:trHeight w:val="305"/>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EB645E" w:rsidRPr="00410336" w:rsidRDefault="00EB645E" w:rsidP="000F4F5B">
            <w:pPr>
              <w:spacing w:line="240" w:lineRule="auto"/>
              <w:jc w:val="center"/>
              <w:rPr>
                <w:rFonts w:ascii="Arial Narrow" w:hAnsi="Arial Narrow" w:cs="Calibri"/>
                <w:color w:val="000000"/>
                <w:sz w:val="20"/>
                <w:szCs w:val="20"/>
              </w:rPr>
            </w:pPr>
            <w:r w:rsidRPr="00410336">
              <w:rPr>
                <w:rFonts w:ascii="Arial Narrow" w:hAnsi="Arial Narrow" w:cs="Calibri"/>
                <w:color w:val="000000"/>
                <w:sz w:val="20"/>
                <w:szCs w:val="20"/>
              </w:rPr>
              <w:t>E4</w:t>
            </w:r>
          </w:p>
        </w:tc>
        <w:tc>
          <w:tcPr>
            <w:tcW w:w="4024" w:type="dxa"/>
            <w:tcBorders>
              <w:top w:val="nil"/>
              <w:left w:val="nil"/>
              <w:bottom w:val="single" w:sz="4" w:space="0" w:color="auto"/>
              <w:right w:val="single" w:sz="4" w:space="0" w:color="auto"/>
            </w:tcBorders>
            <w:shd w:val="clear" w:color="auto" w:fill="auto"/>
            <w:noWrap/>
            <w:vAlign w:val="center"/>
            <w:hideMark/>
          </w:tcPr>
          <w:p w:rsidR="00EB645E" w:rsidRPr="00410336" w:rsidRDefault="00EB645E" w:rsidP="000F4F5B">
            <w:pPr>
              <w:spacing w:line="240" w:lineRule="auto"/>
              <w:jc w:val="center"/>
              <w:rPr>
                <w:rFonts w:ascii="Arial Narrow" w:hAnsi="Arial Narrow" w:cs="Calibri"/>
                <w:color w:val="000000"/>
                <w:sz w:val="20"/>
                <w:szCs w:val="20"/>
              </w:rPr>
            </w:pPr>
            <w:r w:rsidRPr="00410336">
              <w:rPr>
                <w:rFonts w:ascii="Arial Narrow" w:hAnsi="Arial Narrow" w:cs="Calibri"/>
                <w:color w:val="000000"/>
                <w:sz w:val="20"/>
                <w:szCs w:val="20"/>
              </w:rPr>
              <w:t>1 g</w:t>
            </w:r>
            <w:r w:rsidR="00062780">
              <w:rPr>
                <w:rFonts w:ascii="Arial Narrow" w:hAnsi="Arial Narrow" w:cs="Calibri"/>
                <w:color w:val="000000"/>
                <w:sz w:val="20"/>
                <w:szCs w:val="20"/>
              </w:rPr>
              <w:t xml:space="preserve"> </w:t>
            </w:r>
            <w:r w:rsidRPr="00410336">
              <w:rPr>
                <w:rFonts w:ascii="Arial Narrow" w:hAnsi="Arial Narrow" w:cs="Calibri"/>
                <w:color w:val="000000"/>
                <w:sz w:val="20"/>
                <w:szCs w:val="20"/>
              </w:rPr>
              <w:t>/</w:t>
            </w:r>
            <w:r w:rsidR="00062780">
              <w:rPr>
                <w:rFonts w:ascii="Arial Narrow" w:hAnsi="Arial Narrow" w:cs="Calibri"/>
                <w:color w:val="000000"/>
                <w:sz w:val="20"/>
                <w:szCs w:val="20"/>
              </w:rPr>
              <w:t xml:space="preserve"> </w:t>
            </w:r>
            <w:r w:rsidRPr="00410336">
              <w:rPr>
                <w:rFonts w:ascii="Arial Narrow" w:hAnsi="Arial Narrow" w:cs="Calibri"/>
                <w:color w:val="000000"/>
                <w:sz w:val="20"/>
                <w:szCs w:val="20"/>
              </w:rPr>
              <w:t>1 mL</w:t>
            </w:r>
          </w:p>
        </w:tc>
        <w:tc>
          <w:tcPr>
            <w:tcW w:w="4115" w:type="dxa"/>
            <w:tcBorders>
              <w:top w:val="nil"/>
              <w:left w:val="nil"/>
              <w:bottom w:val="single" w:sz="4" w:space="0" w:color="auto"/>
              <w:right w:val="single" w:sz="4" w:space="0" w:color="auto"/>
            </w:tcBorders>
            <w:shd w:val="clear" w:color="auto" w:fill="auto"/>
            <w:noWrap/>
            <w:vAlign w:val="center"/>
            <w:hideMark/>
          </w:tcPr>
          <w:p w:rsidR="00EB645E" w:rsidRPr="00410336" w:rsidRDefault="00EB645E" w:rsidP="000F4F5B">
            <w:pPr>
              <w:spacing w:line="240" w:lineRule="auto"/>
              <w:jc w:val="center"/>
              <w:rPr>
                <w:rFonts w:ascii="Arial Narrow" w:hAnsi="Arial Narrow" w:cs="Calibri"/>
                <w:color w:val="000000"/>
                <w:sz w:val="20"/>
                <w:szCs w:val="20"/>
              </w:rPr>
            </w:pPr>
            <w:r w:rsidRPr="00410336">
              <w:rPr>
                <w:rFonts w:ascii="Arial Narrow" w:hAnsi="Arial Narrow" w:cs="Calibri"/>
                <w:color w:val="000000"/>
                <w:sz w:val="20"/>
                <w:szCs w:val="20"/>
              </w:rPr>
              <w:t>500 g</w:t>
            </w:r>
            <w:r w:rsidR="00062780">
              <w:rPr>
                <w:rFonts w:ascii="Arial Narrow" w:hAnsi="Arial Narrow" w:cs="Calibri"/>
                <w:color w:val="000000"/>
                <w:sz w:val="20"/>
                <w:szCs w:val="20"/>
              </w:rPr>
              <w:t xml:space="preserve"> </w:t>
            </w:r>
            <w:r w:rsidRPr="00410336">
              <w:rPr>
                <w:rFonts w:ascii="Arial Narrow" w:hAnsi="Arial Narrow" w:cs="Calibri"/>
                <w:color w:val="000000"/>
                <w:sz w:val="20"/>
                <w:szCs w:val="20"/>
              </w:rPr>
              <w:t>/</w:t>
            </w:r>
            <w:r w:rsidR="00062780">
              <w:rPr>
                <w:rFonts w:ascii="Arial Narrow" w:hAnsi="Arial Narrow" w:cs="Calibri"/>
                <w:color w:val="000000"/>
                <w:sz w:val="20"/>
                <w:szCs w:val="20"/>
              </w:rPr>
              <w:t xml:space="preserve"> </w:t>
            </w:r>
            <w:r w:rsidRPr="00410336">
              <w:rPr>
                <w:rFonts w:ascii="Arial Narrow" w:hAnsi="Arial Narrow" w:cs="Calibri"/>
                <w:color w:val="000000"/>
                <w:sz w:val="20"/>
                <w:szCs w:val="20"/>
              </w:rPr>
              <w:t>500 mL</w:t>
            </w:r>
          </w:p>
        </w:tc>
      </w:tr>
      <w:tr w:rsidR="00EB645E" w:rsidRPr="004A1225" w:rsidTr="00D161A6">
        <w:trPr>
          <w:trHeight w:val="305"/>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EB645E" w:rsidRPr="00410336" w:rsidRDefault="00EB645E" w:rsidP="000F4F5B">
            <w:pPr>
              <w:spacing w:line="240" w:lineRule="auto"/>
              <w:jc w:val="center"/>
              <w:rPr>
                <w:rFonts w:ascii="Arial Narrow" w:hAnsi="Arial Narrow" w:cs="Calibri"/>
                <w:color w:val="000000"/>
                <w:sz w:val="20"/>
                <w:szCs w:val="20"/>
              </w:rPr>
            </w:pPr>
            <w:r w:rsidRPr="00410336">
              <w:rPr>
                <w:rFonts w:ascii="Arial Narrow" w:hAnsi="Arial Narrow" w:cs="Calibri"/>
                <w:color w:val="000000"/>
                <w:sz w:val="20"/>
                <w:szCs w:val="20"/>
              </w:rPr>
              <w:t>E5</w:t>
            </w:r>
          </w:p>
        </w:tc>
        <w:tc>
          <w:tcPr>
            <w:tcW w:w="4024" w:type="dxa"/>
            <w:tcBorders>
              <w:top w:val="nil"/>
              <w:left w:val="nil"/>
              <w:bottom w:val="single" w:sz="4" w:space="0" w:color="auto"/>
              <w:right w:val="single" w:sz="4" w:space="0" w:color="auto"/>
            </w:tcBorders>
            <w:shd w:val="clear" w:color="auto" w:fill="auto"/>
            <w:noWrap/>
            <w:vAlign w:val="center"/>
            <w:hideMark/>
          </w:tcPr>
          <w:p w:rsidR="00EB645E" w:rsidRPr="00410336" w:rsidRDefault="00EB645E" w:rsidP="000F4F5B">
            <w:pPr>
              <w:spacing w:line="240" w:lineRule="auto"/>
              <w:jc w:val="center"/>
              <w:rPr>
                <w:rFonts w:ascii="Arial Narrow" w:hAnsi="Arial Narrow" w:cs="Calibri"/>
                <w:color w:val="000000"/>
                <w:sz w:val="20"/>
                <w:szCs w:val="20"/>
              </w:rPr>
            </w:pPr>
            <w:r w:rsidRPr="00410336">
              <w:rPr>
                <w:rFonts w:ascii="Arial Narrow" w:hAnsi="Arial Narrow" w:cs="Calibri"/>
                <w:color w:val="000000"/>
                <w:sz w:val="20"/>
                <w:szCs w:val="20"/>
              </w:rPr>
              <w:t>1 g</w:t>
            </w:r>
            <w:r w:rsidR="00062780">
              <w:rPr>
                <w:rFonts w:ascii="Arial Narrow" w:hAnsi="Arial Narrow" w:cs="Calibri"/>
                <w:color w:val="000000"/>
                <w:sz w:val="20"/>
                <w:szCs w:val="20"/>
              </w:rPr>
              <w:t xml:space="preserve"> </w:t>
            </w:r>
            <w:r w:rsidRPr="00410336">
              <w:rPr>
                <w:rFonts w:ascii="Arial Narrow" w:hAnsi="Arial Narrow" w:cs="Calibri"/>
                <w:color w:val="000000"/>
                <w:sz w:val="20"/>
                <w:szCs w:val="20"/>
              </w:rPr>
              <w:t>/</w:t>
            </w:r>
            <w:r w:rsidR="00062780">
              <w:rPr>
                <w:rFonts w:ascii="Arial Narrow" w:hAnsi="Arial Narrow" w:cs="Calibri"/>
                <w:color w:val="000000"/>
                <w:sz w:val="20"/>
                <w:szCs w:val="20"/>
              </w:rPr>
              <w:t xml:space="preserve"> </w:t>
            </w:r>
            <w:r w:rsidRPr="00410336">
              <w:rPr>
                <w:rFonts w:ascii="Arial Narrow" w:hAnsi="Arial Narrow" w:cs="Calibri"/>
                <w:color w:val="000000"/>
                <w:sz w:val="20"/>
                <w:szCs w:val="20"/>
              </w:rPr>
              <w:t>1 mL</w:t>
            </w:r>
          </w:p>
        </w:tc>
        <w:tc>
          <w:tcPr>
            <w:tcW w:w="4115" w:type="dxa"/>
            <w:tcBorders>
              <w:top w:val="nil"/>
              <w:left w:val="nil"/>
              <w:bottom w:val="single" w:sz="4" w:space="0" w:color="auto"/>
              <w:right w:val="single" w:sz="4" w:space="0" w:color="auto"/>
            </w:tcBorders>
            <w:shd w:val="clear" w:color="auto" w:fill="auto"/>
            <w:noWrap/>
            <w:vAlign w:val="center"/>
            <w:hideMark/>
          </w:tcPr>
          <w:p w:rsidR="00EB645E" w:rsidRPr="00410336" w:rsidRDefault="00EB645E" w:rsidP="000F4F5B">
            <w:pPr>
              <w:spacing w:line="240" w:lineRule="auto"/>
              <w:jc w:val="center"/>
              <w:rPr>
                <w:rFonts w:ascii="Arial Narrow" w:hAnsi="Arial Narrow" w:cs="Calibri"/>
                <w:color w:val="000000"/>
                <w:sz w:val="20"/>
                <w:szCs w:val="20"/>
              </w:rPr>
            </w:pPr>
            <w:r w:rsidRPr="00410336">
              <w:rPr>
                <w:rFonts w:ascii="Arial Narrow" w:hAnsi="Arial Narrow" w:cs="Calibri"/>
                <w:color w:val="000000"/>
                <w:sz w:val="20"/>
                <w:szCs w:val="20"/>
              </w:rPr>
              <w:t>300 g</w:t>
            </w:r>
            <w:r w:rsidR="00062780">
              <w:rPr>
                <w:rFonts w:ascii="Arial Narrow" w:hAnsi="Arial Narrow" w:cs="Calibri"/>
                <w:color w:val="000000"/>
                <w:sz w:val="20"/>
                <w:szCs w:val="20"/>
              </w:rPr>
              <w:t xml:space="preserve"> </w:t>
            </w:r>
            <w:r w:rsidRPr="00410336">
              <w:rPr>
                <w:rFonts w:ascii="Arial Narrow" w:hAnsi="Arial Narrow" w:cs="Calibri"/>
                <w:color w:val="000000"/>
                <w:sz w:val="20"/>
                <w:szCs w:val="20"/>
              </w:rPr>
              <w:t>/</w:t>
            </w:r>
            <w:r w:rsidR="00062780">
              <w:rPr>
                <w:rFonts w:ascii="Arial Narrow" w:hAnsi="Arial Narrow" w:cs="Calibri"/>
                <w:color w:val="000000"/>
                <w:sz w:val="20"/>
                <w:szCs w:val="20"/>
              </w:rPr>
              <w:t xml:space="preserve"> </w:t>
            </w:r>
            <w:r w:rsidRPr="00410336">
              <w:rPr>
                <w:rFonts w:ascii="Arial Narrow" w:hAnsi="Arial Narrow" w:cs="Calibri"/>
                <w:color w:val="000000"/>
                <w:sz w:val="20"/>
                <w:szCs w:val="20"/>
              </w:rPr>
              <w:t>300 mL</w:t>
            </w:r>
          </w:p>
        </w:tc>
      </w:tr>
    </w:tbl>
    <w:p w:rsidR="00062780" w:rsidRDefault="00062780" w:rsidP="004A1225"/>
    <w:p w:rsidR="00EB645E" w:rsidRDefault="00EB645E" w:rsidP="004A1225">
      <w:r>
        <w:t xml:space="preserve">For gases the volume indicated for inner packaging refers to the water capacity of the inner receptacle and the outer packaging is the combined water weight of all inner packaging within a single outer packaging. </w:t>
      </w:r>
    </w:p>
    <w:p w:rsidR="00EB645E" w:rsidRDefault="00EB645E" w:rsidP="004A1225"/>
    <w:p w:rsidR="00EB645E" w:rsidRDefault="00EB645E" w:rsidP="004A1225">
      <w:r>
        <w:t xml:space="preserve">If there are different Excepted Quantity materials with different codes within the same outer package then the outer package must be limited to the most restrictive. </w:t>
      </w:r>
    </w:p>
    <w:p w:rsidR="00EB645E" w:rsidRDefault="00EB645E" w:rsidP="004A1225"/>
    <w:p w:rsidR="00EB645E" w:rsidRDefault="00EB645E" w:rsidP="004A1225">
      <w:r>
        <w:t xml:space="preserve">Shipping Excepted Quantities must follow the packing instructions listed below. </w:t>
      </w:r>
    </w:p>
    <w:p w:rsidR="00EB645E" w:rsidRDefault="00EB645E" w:rsidP="004A1225"/>
    <w:p w:rsidR="007F0842" w:rsidRPr="007F0842" w:rsidRDefault="007F0842" w:rsidP="00943268">
      <w:pPr>
        <w:pStyle w:val="ListParagraph"/>
        <w:numPr>
          <w:ilvl w:val="0"/>
          <w:numId w:val="35"/>
        </w:numPr>
        <w:ind w:left="360" w:hanging="180"/>
      </w:pPr>
      <w:r w:rsidRPr="007F0842">
        <w:t xml:space="preserve">Inner receptacles are constructed of plastic having a minimum thickness of no less than </w:t>
      </w:r>
      <w:r w:rsidR="00C82696">
        <w:br/>
      </w:r>
      <w:r w:rsidRPr="007F0842">
        <w:t>0.2 mm (0.008 inch), or of earthenware, glass or metal.</w:t>
      </w:r>
    </w:p>
    <w:p w:rsidR="007F0842" w:rsidRPr="007F0842" w:rsidRDefault="007F0842" w:rsidP="00943268">
      <w:pPr>
        <w:pStyle w:val="ListParagraph"/>
        <w:numPr>
          <w:ilvl w:val="0"/>
          <w:numId w:val="35"/>
        </w:numPr>
        <w:ind w:left="360" w:hanging="180"/>
      </w:pPr>
      <w:r w:rsidRPr="007F0842">
        <w:t>Inner receptacles with removable closures (e.g.</w:t>
      </w:r>
      <w:r w:rsidR="00C82696">
        <w:t>,</w:t>
      </w:r>
      <w:r w:rsidRPr="007F0842">
        <w:t xml:space="preserve"> caps or lids) are </w:t>
      </w:r>
      <w:r w:rsidR="00C82696" w:rsidRPr="007F0842">
        <w:t>secure</w:t>
      </w:r>
      <w:r w:rsidR="00C82696">
        <w:t>ly</w:t>
      </w:r>
      <w:r w:rsidR="00C82696" w:rsidRPr="007F0842">
        <w:t xml:space="preserve"> </w:t>
      </w:r>
      <w:r w:rsidRPr="007F0842">
        <w:t>closed with tape or similar.</w:t>
      </w:r>
    </w:p>
    <w:p w:rsidR="00EB645E" w:rsidRDefault="00EB645E" w:rsidP="00943268">
      <w:pPr>
        <w:pStyle w:val="ListParagraph"/>
        <w:numPr>
          <w:ilvl w:val="0"/>
          <w:numId w:val="35"/>
        </w:numPr>
        <w:ind w:left="360" w:hanging="180"/>
      </w:pPr>
      <w:r>
        <w:lastRenderedPageBreak/>
        <w:t xml:space="preserve">Any receptacle with a neck with screw threads must have a leak proof threaded cap. </w:t>
      </w:r>
    </w:p>
    <w:p w:rsidR="00EB645E" w:rsidRDefault="00EB645E" w:rsidP="00943268">
      <w:pPr>
        <w:pStyle w:val="ListParagraph"/>
        <w:numPr>
          <w:ilvl w:val="0"/>
          <w:numId w:val="35"/>
        </w:numPr>
        <w:ind w:left="360" w:hanging="180"/>
      </w:pPr>
      <w:r>
        <w:t xml:space="preserve">The </w:t>
      </w:r>
      <w:r w:rsidR="007F0842">
        <w:t>closure must</w:t>
      </w:r>
      <w:r>
        <w:t xml:space="preserve"> be resistant to the material being shipped. </w:t>
      </w:r>
    </w:p>
    <w:p w:rsidR="00EB645E" w:rsidRDefault="00EB645E" w:rsidP="00943268">
      <w:pPr>
        <w:pStyle w:val="ListParagraph"/>
        <w:numPr>
          <w:ilvl w:val="0"/>
          <w:numId w:val="35"/>
        </w:numPr>
        <w:ind w:left="360" w:hanging="180"/>
      </w:pPr>
      <w:r>
        <w:t xml:space="preserve">Each inner package must be packed in an intermediate packaging with cushioning material so that under normal conditions they cannot break, be punctured or leak its contents. </w:t>
      </w:r>
    </w:p>
    <w:p w:rsidR="00EB645E" w:rsidRDefault="00EB645E" w:rsidP="00943268">
      <w:pPr>
        <w:pStyle w:val="ListParagraph"/>
        <w:numPr>
          <w:ilvl w:val="0"/>
          <w:numId w:val="35"/>
        </w:numPr>
        <w:ind w:left="360" w:hanging="180"/>
      </w:pPr>
      <w:r>
        <w:t xml:space="preserve">The intermediate packaging must completely contain the contents of the inner packing in case of breakage, leakage regardless of package orientation. </w:t>
      </w:r>
    </w:p>
    <w:p w:rsidR="00EB645E" w:rsidRDefault="00EB645E" w:rsidP="00943268">
      <w:pPr>
        <w:pStyle w:val="ListParagraph"/>
        <w:numPr>
          <w:ilvl w:val="0"/>
          <w:numId w:val="35"/>
        </w:numPr>
        <w:ind w:left="360" w:hanging="180"/>
      </w:pPr>
      <w:r>
        <w:t xml:space="preserve">For liquids there needs to be enough absorbent material to absorb the entire contents of inner packaging. Absorbent material can also be used as cushioning material. </w:t>
      </w:r>
    </w:p>
    <w:p w:rsidR="00EB645E" w:rsidRDefault="00EB645E" w:rsidP="00943268">
      <w:pPr>
        <w:pStyle w:val="ListParagraph"/>
        <w:numPr>
          <w:ilvl w:val="0"/>
          <w:numId w:val="35"/>
        </w:numPr>
        <w:ind w:left="360" w:hanging="180"/>
      </w:pPr>
      <w:r>
        <w:t xml:space="preserve">Dangerous goods must not react with cushioning, absorbent or packaging materials. </w:t>
      </w:r>
    </w:p>
    <w:p w:rsidR="00EB645E" w:rsidRDefault="00EB645E" w:rsidP="00943268">
      <w:pPr>
        <w:pStyle w:val="ListParagraph"/>
        <w:numPr>
          <w:ilvl w:val="0"/>
          <w:numId w:val="35"/>
        </w:numPr>
        <w:ind w:left="360" w:hanging="180"/>
      </w:pPr>
      <w:r>
        <w:t xml:space="preserve">Intermediate </w:t>
      </w:r>
      <w:r w:rsidR="007F0842">
        <w:t>packaging must</w:t>
      </w:r>
      <w:r>
        <w:t xml:space="preserve"> be securely packaged in a strong rigid outer packaging (e.g.</w:t>
      </w:r>
      <w:r w:rsidR="00F94932">
        <w:t>,</w:t>
      </w:r>
      <w:r>
        <w:t xml:space="preserve"> wood or fiberboard). </w:t>
      </w:r>
    </w:p>
    <w:p w:rsidR="00EB645E" w:rsidRDefault="00EB645E" w:rsidP="00943268">
      <w:pPr>
        <w:pStyle w:val="ListParagraph"/>
        <w:numPr>
          <w:ilvl w:val="0"/>
          <w:numId w:val="35"/>
        </w:numPr>
        <w:ind w:left="360" w:hanging="90"/>
      </w:pPr>
      <w:r>
        <w:t>Package must be large enough that all the necessary markings are present.</w:t>
      </w:r>
    </w:p>
    <w:p w:rsidR="00EB645E" w:rsidRDefault="00EB645E" w:rsidP="00943268">
      <w:pPr>
        <w:pStyle w:val="ListParagraph"/>
        <w:numPr>
          <w:ilvl w:val="0"/>
          <w:numId w:val="35"/>
        </w:numPr>
        <w:ind w:left="360" w:hanging="90"/>
      </w:pPr>
      <w:r>
        <w:t>A package containing dangerous goods in excepted quantities must not contain other dangerous goods that require a shipper’s declaration.</w:t>
      </w:r>
    </w:p>
    <w:p w:rsidR="00EB645E" w:rsidRDefault="00EB645E" w:rsidP="00943268">
      <w:pPr>
        <w:pStyle w:val="ListParagraph"/>
        <w:numPr>
          <w:ilvl w:val="0"/>
          <w:numId w:val="35"/>
        </w:numPr>
        <w:ind w:left="360" w:hanging="90"/>
      </w:pPr>
      <w:r>
        <w:t>When shipping a package with an excepted quantity dangerous good that is packed with dry ice refer to the “How to Dry Ice Guide” for proper packing instructions</w:t>
      </w:r>
      <w:r w:rsidR="004D378D">
        <w:t>.</w:t>
      </w:r>
    </w:p>
    <w:p w:rsidR="004D378D" w:rsidRDefault="004D378D" w:rsidP="00943268">
      <w:pPr>
        <w:pStyle w:val="ListParagraph"/>
        <w:numPr>
          <w:ilvl w:val="0"/>
          <w:numId w:val="35"/>
        </w:numPr>
        <w:ind w:left="360" w:hanging="90"/>
      </w:pPr>
      <w:r>
        <w:t xml:space="preserve">Inner packaging must be filled 95% of their capacity for solids and 98% capacity for liquids with packing material to prevent breakage or spillage. </w:t>
      </w:r>
    </w:p>
    <w:p w:rsidR="00E577DE" w:rsidRDefault="004D378D" w:rsidP="00943268">
      <w:pPr>
        <w:pStyle w:val="ListParagraph"/>
        <w:numPr>
          <w:ilvl w:val="0"/>
          <w:numId w:val="35"/>
        </w:numPr>
        <w:ind w:left="360" w:hanging="90"/>
      </w:pPr>
      <w:r>
        <w:t>Packages must withstand a drop test from a height of 1.8 meters</w:t>
      </w:r>
      <w:r w:rsidR="00F94932">
        <w:t xml:space="preserve"> (5.9 feet)</w:t>
      </w:r>
      <w:r>
        <w:t xml:space="preserve"> </w:t>
      </w:r>
      <w:r w:rsidR="007F0842">
        <w:t>on all sides.</w:t>
      </w:r>
    </w:p>
    <w:p w:rsidR="004D378D" w:rsidRDefault="004D378D" w:rsidP="00943268">
      <w:pPr>
        <w:pStyle w:val="ListParagraph"/>
        <w:numPr>
          <w:ilvl w:val="0"/>
          <w:numId w:val="35"/>
        </w:numPr>
        <w:ind w:left="360" w:hanging="90"/>
      </w:pPr>
      <w:r>
        <w:t>Shipper’s Declaration for Dangerous Goods is not required.</w:t>
      </w:r>
    </w:p>
    <w:p w:rsidR="004D378D" w:rsidRPr="004D378D" w:rsidRDefault="004D378D" w:rsidP="00943268">
      <w:pPr>
        <w:pStyle w:val="ListParagraph"/>
        <w:numPr>
          <w:ilvl w:val="0"/>
          <w:numId w:val="35"/>
        </w:numPr>
        <w:ind w:left="360" w:hanging="90"/>
      </w:pPr>
      <w:r>
        <w:t>If a bill of lading or an air</w:t>
      </w:r>
      <w:r w:rsidR="007F0842">
        <w:t xml:space="preserve"> </w:t>
      </w:r>
      <w:r>
        <w:t xml:space="preserve">waybill accompanies </w:t>
      </w:r>
      <w:r w:rsidR="0088738F">
        <w:t xml:space="preserve">dangerous goods in Excepted Quantities, it must include that phrase “Dangerous Goods in Excepted Quantities” and indicate the number of packages. </w:t>
      </w:r>
    </w:p>
    <w:p w:rsidR="004D378D" w:rsidRDefault="004D378D" w:rsidP="004A1225">
      <w:pPr>
        <w:ind w:left="540" w:hanging="180"/>
      </w:pPr>
    </w:p>
    <w:p w:rsidR="0088738F" w:rsidRDefault="0088738F">
      <w:pPr>
        <w:spacing w:line="240" w:lineRule="auto"/>
        <w:rPr>
          <w:rFonts w:asciiTheme="minorHAnsi" w:hAnsiTheme="minorHAnsi" w:cstheme="minorHAnsi"/>
          <w:sz w:val="22"/>
          <w:szCs w:val="22"/>
        </w:rPr>
      </w:pPr>
      <w:r>
        <w:rPr>
          <w:rFonts w:asciiTheme="minorHAnsi" w:hAnsiTheme="minorHAnsi" w:cstheme="minorHAnsi"/>
          <w:sz w:val="22"/>
          <w:szCs w:val="22"/>
        </w:rPr>
        <w:br w:type="page"/>
      </w:r>
    </w:p>
    <w:p w:rsidR="0088738F" w:rsidRPr="004A1225" w:rsidRDefault="007A6F93" w:rsidP="004A1225">
      <w:pPr>
        <w:spacing w:after="120"/>
        <w:rPr>
          <w:i/>
          <w:color w:val="595959" w:themeColor="text1" w:themeTint="A6"/>
        </w:rPr>
      </w:pPr>
      <w:r w:rsidRPr="004A1225">
        <w:rPr>
          <w:i/>
          <w:color w:val="595959" w:themeColor="text1" w:themeTint="A6"/>
        </w:rPr>
        <w:lastRenderedPageBreak/>
        <w:t>Limited Quantities</w:t>
      </w:r>
      <w:r w:rsidR="00616F44" w:rsidRPr="004A1225">
        <w:rPr>
          <w:i/>
          <w:color w:val="595959" w:themeColor="text1" w:themeTint="A6"/>
        </w:rPr>
        <w:t xml:space="preserve"> </w:t>
      </w:r>
    </w:p>
    <w:p w:rsidR="00333530" w:rsidRPr="000122E9" w:rsidRDefault="002D0572" w:rsidP="004A1225">
      <w:pPr>
        <w:rPr>
          <w:b/>
        </w:rPr>
      </w:pPr>
      <w:r w:rsidRPr="002D0572">
        <w:t xml:space="preserve">Many </w:t>
      </w:r>
      <w:r w:rsidR="009947C5">
        <w:t>hazardous chemicals</w:t>
      </w:r>
      <w:r w:rsidRPr="002D0572">
        <w:t xml:space="preserve"> can be safely transported when in limited quantities and in appropriate packaging. </w:t>
      </w:r>
    </w:p>
    <w:p w:rsidR="00333530" w:rsidRPr="000122E9" w:rsidRDefault="00333530" w:rsidP="004A1225"/>
    <w:p w:rsidR="00E577DE" w:rsidRPr="004A1225" w:rsidRDefault="005076DD" w:rsidP="004A1225">
      <w:pPr>
        <w:rPr>
          <w:b/>
        </w:rPr>
      </w:pPr>
      <w:r w:rsidRPr="004A1225">
        <w:rPr>
          <w:b/>
        </w:rPr>
        <w:t>Packaging:</w:t>
      </w:r>
      <w:r w:rsidR="004A1225">
        <w:rPr>
          <w:b/>
        </w:rPr>
        <w:t xml:space="preserve"> </w:t>
      </w:r>
      <w:r w:rsidRPr="004A1225">
        <w:t>UNPOP packaging is not required for Limited Quantity Shipments. Packaging must be of appropriate durability for its intended use. Triple Packaging is required.</w:t>
      </w:r>
    </w:p>
    <w:p w:rsidR="00E577DE" w:rsidRPr="004A1225" w:rsidRDefault="00E577DE" w:rsidP="004A1225"/>
    <w:p w:rsidR="002D0572" w:rsidRDefault="004E787E" w:rsidP="004A1225">
      <w:r w:rsidRPr="004A1225">
        <w:rPr>
          <w:b/>
        </w:rPr>
        <w:t>Labeling</w:t>
      </w:r>
      <w:r w:rsidR="0042179D" w:rsidRPr="004A1225">
        <w:rPr>
          <w:b/>
        </w:rPr>
        <w:t>:</w:t>
      </w:r>
      <w:r w:rsidR="004A1225">
        <w:t xml:space="preserve"> </w:t>
      </w:r>
      <w:r w:rsidR="00C9650F" w:rsidRPr="004A1225">
        <w:t>Marking the package with a black and white diamond label with a “Y” indicates that the package is in compliance with IATA DGR regulations and can be shipped via passenger aircraft.</w:t>
      </w:r>
      <w:r w:rsidR="00EA5EB1" w:rsidRPr="004A1225">
        <w:t xml:space="preserve"> </w:t>
      </w:r>
    </w:p>
    <w:p w:rsidR="004A1225" w:rsidRPr="004A1225" w:rsidRDefault="004A1225" w:rsidP="004A1225"/>
    <w:p w:rsidR="006622ED" w:rsidRDefault="006622ED" w:rsidP="004A1225">
      <w:pPr>
        <w:pStyle w:val="ListParagraph"/>
        <w:numPr>
          <w:ilvl w:val="0"/>
          <w:numId w:val="36"/>
        </w:numPr>
      </w:pPr>
      <w:r>
        <w:t>Black and white d</w:t>
      </w:r>
      <w:r w:rsidR="00333530" w:rsidRPr="000122E9">
        <w:t>iamond sticker with a “Y”</w:t>
      </w:r>
    </w:p>
    <w:p w:rsidR="002D0572" w:rsidRDefault="006622ED" w:rsidP="002D0572">
      <w:pPr>
        <w:pStyle w:val="ListParagraph"/>
        <w:ind w:left="1440" w:firstLine="720"/>
        <w:rPr>
          <w:rFonts w:asciiTheme="minorHAnsi" w:hAnsiTheme="minorHAnsi" w:cstheme="minorHAnsi"/>
          <w:b/>
          <w:noProof/>
          <w:color w:val="FF0000"/>
          <w:sz w:val="22"/>
          <w:szCs w:val="22"/>
        </w:rPr>
      </w:pPr>
      <w:r w:rsidRPr="006622ED">
        <w:rPr>
          <w:rFonts w:asciiTheme="minorHAnsi" w:hAnsiTheme="minorHAnsi" w:cstheme="minorHAnsi"/>
          <w:b/>
          <w:noProof/>
          <w:color w:val="FF0000"/>
          <w:sz w:val="22"/>
          <w:szCs w:val="22"/>
        </w:rPr>
        <w:t xml:space="preserve"> </w:t>
      </w:r>
      <w:r>
        <w:rPr>
          <w:rFonts w:asciiTheme="minorHAnsi" w:hAnsiTheme="minorHAnsi" w:cstheme="minorHAnsi"/>
          <w:b/>
          <w:noProof/>
          <w:color w:val="FF0000"/>
          <w:sz w:val="22"/>
          <w:szCs w:val="22"/>
        </w:rPr>
        <w:drawing>
          <wp:inline distT="0" distB="0" distL="0" distR="0">
            <wp:extent cx="695325" cy="695325"/>
            <wp:effectExtent l="19050" t="0" r="9525" b="0"/>
            <wp:docPr id="2" name="Picture 0" descr="Limited Quant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ited Quantities.jpg"/>
                    <pic:cNvPicPr/>
                  </pic:nvPicPr>
                  <pic:blipFill>
                    <a:blip r:embed="rId10" cstate="print"/>
                    <a:stretch>
                      <a:fillRect/>
                    </a:stretch>
                  </pic:blipFill>
                  <pic:spPr>
                    <a:xfrm>
                      <a:off x="0" y="0"/>
                      <a:ext cx="695325" cy="695325"/>
                    </a:xfrm>
                    <a:prstGeom prst="rect">
                      <a:avLst/>
                    </a:prstGeom>
                  </pic:spPr>
                </pic:pic>
              </a:graphicData>
            </a:graphic>
          </wp:inline>
        </w:drawing>
      </w:r>
    </w:p>
    <w:p w:rsidR="004E787E" w:rsidRPr="004A1225" w:rsidRDefault="004E787E" w:rsidP="004A1225"/>
    <w:p w:rsidR="004E787E" w:rsidRDefault="004E787E" w:rsidP="004A1225">
      <w:r w:rsidRPr="004A1225">
        <w:t xml:space="preserve">A package marked with a black and white diamond without a “Y” indicates the package can be shipped in limited quantities by ground or water. </w:t>
      </w:r>
    </w:p>
    <w:p w:rsidR="004A1225" w:rsidRPr="004A1225" w:rsidRDefault="004A1225" w:rsidP="004A1225"/>
    <w:p w:rsidR="007479CD" w:rsidRPr="004A1225" w:rsidRDefault="006622ED" w:rsidP="004A1225">
      <w:pPr>
        <w:pStyle w:val="ListParagraph"/>
        <w:numPr>
          <w:ilvl w:val="0"/>
          <w:numId w:val="36"/>
        </w:numPr>
      </w:pPr>
      <w:r w:rsidRPr="004A1225">
        <w:t>Black and white diamond sticker with appropriate UN number</w:t>
      </w:r>
    </w:p>
    <w:p w:rsidR="002D0572" w:rsidRDefault="006622ED" w:rsidP="002D0572">
      <w:pPr>
        <w:pStyle w:val="ListParagraph"/>
        <w:ind w:left="1440" w:firstLine="720"/>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790575" cy="790575"/>
            <wp:effectExtent l="19050" t="0" r="9525" b="0"/>
            <wp:docPr id="3" name="Picture 2" descr="LQL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QL45.jpg"/>
                    <pic:cNvPicPr/>
                  </pic:nvPicPr>
                  <pic:blipFill>
                    <a:blip r:embed="rId11" cstate="print"/>
                    <a:stretch>
                      <a:fillRect/>
                    </a:stretch>
                  </pic:blipFill>
                  <pic:spPr>
                    <a:xfrm>
                      <a:off x="0" y="0"/>
                      <a:ext cx="790575" cy="790575"/>
                    </a:xfrm>
                    <a:prstGeom prst="rect">
                      <a:avLst/>
                    </a:prstGeom>
                  </pic:spPr>
                </pic:pic>
              </a:graphicData>
            </a:graphic>
          </wp:inline>
        </w:drawing>
      </w:r>
    </w:p>
    <w:p w:rsidR="004A1225" w:rsidRDefault="004A1225" w:rsidP="004A1225"/>
    <w:p w:rsidR="00E577DE" w:rsidRPr="004A1225" w:rsidRDefault="005076DD" w:rsidP="004A1225">
      <w:r w:rsidRPr="004A1225">
        <w:t xml:space="preserve">In addition to the Limited Quantity Label, all Limited Quantity shipments must be labeled with the Proper Shipping Name and UN ID number.  Hazard Class diamonds are not required. </w:t>
      </w:r>
    </w:p>
    <w:p w:rsidR="005076DD" w:rsidRPr="004A1225" w:rsidRDefault="005076DD" w:rsidP="00391C55"/>
    <w:p w:rsidR="00E577DE" w:rsidRPr="00391C55" w:rsidRDefault="005076DD" w:rsidP="00391C55">
      <w:r w:rsidRPr="00391C55">
        <w:rPr>
          <w:b/>
        </w:rPr>
        <w:t>Documentation:</w:t>
      </w:r>
      <w:r w:rsidRPr="00391C55">
        <w:t xml:space="preserve"> </w:t>
      </w:r>
      <w:r w:rsidR="00391C55" w:rsidRPr="00391C55">
        <w:t xml:space="preserve"> </w:t>
      </w:r>
      <w:r w:rsidRPr="00391C55">
        <w:t>A Shipper’s Declaration Form and a waybill are required for Limited Quantity Shipments.</w:t>
      </w:r>
    </w:p>
    <w:p w:rsidR="005076DD" w:rsidRPr="00391C55" w:rsidRDefault="005076DD" w:rsidP="003F350F"/>
    <w:p w:rsidR="00391C55" w:rsidRDefault="00391C55">
      <w:pPr>
        <w:spacing w:line="240" w:lineRule="auto"/>
      </w:pPr>
      <w:r>
        <w:br w:type="page"/>
      </w:r>
    </w:p>
    <w:p w:rsidR="001E7E5E" w:rsidRPr="00391C55" w:rsidRDefault="00C13A5C" w:rsidP="00BE3D97">
      <w:r w:rsidRPr="00391C55">
        <w:lastRenderedPageBreak/>
        <w:t>The o</w:t>
      </w:r>
      <w:r w:rsidR="0028089B" w:rsidRPr="00391C55">
        <w:t>nly goods which are permitted on passenger aircraft which meet the requirements set forth</w:t>
      </w:r>
      <w:bookmarkStart w:id="0" w:name="_GoBack"/>
      <w:bookmarkEnd w:id="0"/>
      <w:r w:rsidR="0028089B" w:rsidRPr="00391C55">
        <w:t xml:space="preserve"> in </w:t>
      </w:r>
      <w:r w:rsidR="0088738F" w:rsidRPr="00391C55">
        <w:t xml:space="preserve">the Limited Quantities for Passenger Air Craft table </w:t>
      </w:r>
      <w:r w:rsidR="0028089B" w:rsidRPr="00391C55">
        <w:t xml:space="preserve">may be </w:t>
      </w:r>
      <w:r w:rsidRPr="00391C55">
        <w:t>brought on board as a dangerous good in a limited quantity.</w:t>
      </w:r>
    </w:p>
    <w:p w:rsidR="00C13A5C" w:rsidRPr="00391C55" w:rsidRDefault="00C13A5C" w:rsidP="00BE3D97"/>
    <w:tbl>
      <w:tblPr>
        <w:tblW w:w="9360" w:type="dxa"/>
        <w:tblLook w:val="04A0" w:firstRow="1" w:lastRow="0" w:firstColumn="1" w:lastColumn="0" w:noHBand="0" w:noVBand="1"/>
      </w:tblPr>
      <w:tblGrid>
        <w:gridCol w:w="1882"/>
        <w:gridCol w:w="810"/>
        <w:gridCol w:w="1080"/>
        <w:gridCol w:w="1440"/>
        <w:gridCol w:w="4452"/>
      </w:tblGrid>
      <w:tr w:rsidR="003F350F" w:rsidRPr="00391C55" w:rsidTr="00943268">
        <w:trPr>
          <w:trHeight w:val="458"/>
        </w:trPr>
        <w:tc>
          <w:tcPr>
            <w:tcW w:w="966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3F350F" w:rsidRPr="00391C55" w:rsidRDefault="003F350F">
            <w:pPr>
              <w:spacing w:line="240" w:lineRule="auto"/>
              <w:jc w:val="center"/>
              <w:rPr>
                <w:rFonts w:ascii="Arial Narrow" w:hAnsi="Arial Narrow" w:cstheme="minorHAnsi"/>
                <w:b/>
                <w:bCs/>
                <w:color w:val="000000"/>
                <w:sz w:val="22"/>
                <w:szCs w:val="22"/>
              </w:rPr>
            </w:pPr>
            <w:r w:rsidRPr="00391C55">
              <w:rPr>
                <w:rFonts w:ascii="Arial Narrow" w:hAnsi="Arial Narrow" w:cstheme="minorHAnsi"/>
                <w:b/>
                <w:bCs/>
                <w:color w:val="000000"/>
                <w:sz w:val="22"/>
                <w:szCs w:val="22"/>
              </w:rPr>
              <w:t>Limited Quantities for Passenger Air Craft</w:t>
            </w:r>
          </w:p>
        </w:tc>
      </w:tr>
      <w:tr w:rsidR="00C103AD" w:rsidRPr="00391C55" w:rsidTr="00410336">
        <w:trPr>
          <w:trHeight w:val="432"/>
        </w:trPr>
        <w:tc>
          <w:tcPr>
            <w:tcW w:w="1882" w:type="dxa"/>
            <w:tcBorders>
              <w:top w:val="single" w:sz="4" w:space="0" w:color="auto"/>
              <w:left w:val="single" w:sz="4" w:space="0" w:color="auto"/>
              <w:bottom w:val="single" w:sz="4" w:space="0" w:color="auto"/>
              <w:right w:val="single" w:sz="4" w:space="0" w:color="auto"/>
            </w:tcBorders>
            <w:shd w:val="clear" w:color="auto" w:fill="E5EBF2" w:themeFill="accent6" w:themeFillTint="33"/>
            <w:noWrap/>
            <w:vAlign w:val="center"/>
            <w:hideMark/>
          </w:tcPr>
          <w:p w:rsidR="00701B0D" w:rsidRPr="00410336" w:rsidRDefault="00701B0D" w:rsidP="00701B0D">
            <w:pPr>
              <w:spacing w:line="240" w:lineRule="auto"/>
              <w:jc w:val="center"/>
              <w:rPr>
                <w:rFonts w:ascii="Arial Narrow" w:hAnsi="Arial Narrow" w:cstheme="minorHAnsi"/>
                <w:b/>
                <w:bCs/>
                <w:color w:val="000000"/>
                <w:sz w:val="20"/>
                <w:szCs w:val="20"/>
              </w:rPr>
            </w:pPr>
            <w:r w:rsidRPr="00410336">
              <w:rPr>
                <w:rFonts w:ascii="Arial Narrow" w:hAnsi="Arial Narrow" w:cstheme="minorHAnsi"/>
                <w:b/>
                <w:bCs/>
                <w:color w:val="000000"/>
                <w:sz w:val="20"/>
                <w:szCs w:val="20"/>
              </w:rPr>
              <w:t>Class</w:t>
            </w:r>
          </w:p>
        </w:tc>
        <w:tc>
          <w:tcPr>
            <w:tcW w:w="810" w:type="dxa"/>
            <w:tcBorders>
              <w:top w:val="single" w:sz="4" w:space="0" w:color="auto"/>
              <w:left w:val="nil"/>
              <w:bottom w:val="single" w:sz="4" w:space="0" w:color="auto"/>
              <w:right w:val="single" w:sz="4" w:space="0" w:color="auto"/>
            </w:tcBorders>
            <w:shd w:val="clear" w:color="auto" w:fill="E5EBF2" w:themeFill="accent6" w:themeFillTint="33"/>
            <w:noWrap/>
            <w:vAlign w:val="center"/>
            <w:hideMark/>
          </w:tcPr>
          <w:p w:rsidR="00701B0D" w:rsidRPr="00410336" w:rsidRDefault="00701B0D" w:rsidP="00701B0D">
            <w:pPr>
              <w:spacing w:line="240" w:lineRule="auto"/>
              <w:jc w:val="center"/>
              <w:rPr>
                <w:rFonts w:ascii="Arial Narrow" w:hAnsi="Arial Narrow" w:cstheme="minorHAnsi"/>
                <w:b/>
                <w:bCs/>
                <w:color w:val="000000"/>
                <w:sz w:val="20"/>
                <w:szCs w:val="20"/>
              </w:rPr>
            </w:pPr>
            <w:r w:rsidRPr="00410336">
              <w:rPr>
                <w:rFonts w:ascii="Arial Narrow" w:hAnsi="Arial Narrow" w:cstheme="minorHAnsi"/>
                <w:b/>
                <w:bCs/>
                <w:color w:val="000000"/>
                <w:sz w:val="20"/>
                <w:szCs w:val="20"/>
              </w:rPr>
              <w:t>UN #</w:t>
            </w:r>
          </w:p>
        </w:tc>
        <w:tc>
          <w:tcPr>
            <w:tcW w:w="1080" w:type="dxa"/>
            <w:tcBorders>
              <w:top w:val="single" w:sz="4" w:space="0" w:color="auto"/>
              <w:left w:val="nil"/>
              <w:bottom w:val="single" w:sz="4" w:space="0" w:color="auto"/>
              <w:right w:val="single" w:sz="4" w:space="0" w:color="auto"/>
            </w:tcBorders>
            <w:shd w:val="clear" w:color="auto" w:fill="E5EBF2" w:themeFill="accent6" w:themeFillTint="33"/>
            <w:noWrap/>
            <w:vAlign w:val="center"/>
            <w:hideMark/>
          </w:tcPr>
          <w:p w:rsidR="00701B0D" w:rsidRPr="00410336" w:rsidRDefault="00701B0D" w:rsidP="00701B0D">
            <w:pPr>
              <w:spacing w:line="240" w:lineRule="auto"/>
              <w:jc w:val="center"/>
              <w:rPr>
                <w:rFonts w:ascii="Arial Narrow" w:hAnsi="Arial Narrow" w:cstheme="minorHAnsi"/>
                <w:b/>
                <w:bCs/>
                <w:color w:val="000000"/>
                <w:sz w:val="20"/>
                <w:szCs w:val="20"/>
              </w:rPr>
            </w:pPr>
            <w:r w:rsidRPr="00410336">
              <w:rPr>
                <w:rFonts w:ascii="Arial Narrow" w:hAnsi="Arial Narrow" w:cstheme="minorHAnsi"/>
                <w:b/>
                <w:bCs/>
                <w:color w:val="000000"/>
                <w:sz w:val="20"/>
                <w:szCs w:val="20"/>
              </w:rPr>
              <w:t>Division</w:t>
            </w:r>
          </w:p>
        </w:tc>
        <w:tc>
          <w:tcPr>
            <w:tcW w:w="1440" w:type="dxa"/>
            <w:tcBorders>
              <w:top w:val="single" w:sz="4" w:space="0" w:color="auto"/>
              <w:left w:val="nil"/>
              <w:bottom w:val="single" w:sz="4" w:space="0" w:color="auto"/>
              <w:right w:val="single" w:sz="4" w:space="0" w:color="auto"/>
            </w:tcBorders>
            <w:shd w:val="clear" w:color="auto" w:fill="E5EBF2" w:themeFill="accent6" w:themeFillTint="33"/>
            <w:noWrap/>
            <w:vAlign w:val="center"/>
            <w:hideMark/>
          </w:tcPr>
          <w:p w:rsidR="00701B0D" w:rsidRPr="00410336" w:rsidRDefault="00701B0D" w:rsidP="00701B0D">
            <w:pPr>
              <w:spacing w:line="240" w:lineRule="auto"/>
              <w:jc w:val="center"/>
              <w:rPr>
                <w:rFonts w:ascii="Arial Narrow" w:hAnsi="Arial Narrow" w:cstheme="minorHAnsi"/>
                <w:b/>
                <w:bCs/>
                <w:color w:val="000000"/>
                <w:sz w:val="20"/>
                <w:szCs w:val="20"/>
              </w:rPr>
            </w:pPr>
            <w:r w:rsidRPr="00410336">
              <w:rPr>
                <w:rFonts w:ascii="Arial Narrow" w:hAnsi="Arial Narrow" w:cstheme="minorHAnsi"/>
                <w:b/>
                <w:bCs/>
                <w:color w:val="000000"/>
                <w:sz w:val="20"/>
                <w:szCs w:val="20"/>
              </w:rPr>
              <w:t>Packing Group</w:t>
            </w:r>
          </w:p>
        </w:tc>
        <w:tc>
          <w:tcPr>
            <w:tcW w:w="4452" w:type="dxa"/>
            <w:tcBorders>
              <w:top w:val="single" w:sz="4" w:space="0" w:color="auto"/>
              <w:left w:val="nil"/>
              <w:bottom w:val="single" w:sz="4" w:space="0" w:color="auto"/>
              <w:right w:val="single" w:sz="4" w:space="0" w:color="auto"/>
            </w:tcBorders>
            <w:shd w:val="clear" w:color="auto" w:fill="E5EBF2" w:themeFill="accent6" w:themeFillTint="33"/>
            <w:vAlign w:val="center"/>
            <w:hideMark/>
          </w:tcPr>
          <w:p w:rsidR="00701B0D" w:rsidRPr="00410336" w:rsidRDefault="00701B0D" w:rsidP="00701B0D">
            <w:pPr>
              <w:spacing w:line="240" w:lineRule="auto"/>
              <w:jc w:val="center"/>
              <w:rPr>
                <w:rFonts w:ascii="Arial Narrow" w:hAnsi="Arial Narrow" w:cstheme="minorHAnsi"/>
                <w:b/>
                <w:bCs/>
                <w:color w:val="000000"/>
                <w:sz w:val="20"/>
                <w:szCs w:val="20"/>
              </w:rPr>
            </w:pPr>
            <w:r w:rsidRPr="00410336">
              <w:rPr>
                <w:rFonts w:ascii="Arial Narrow" w:hAnsi="Arial Narrow" w:cstheme="minorHAnsi"/>
                <w:b/>
                <w:bCs/>
                <w:color w:val="000000"/>
                <w:sz w:val="20"/>
                <w:szCs w:val="20"/>
              </w:rPr>
              <w:t>Special Consideration</w:t>
            </w:r>
          </w:p>
        </w:tc>
      </w:tr>
      <w:tr w:rsidR="00701B0D" w:rsidRPr="00391C55" w:rsidTr="00410336">
        <w:trPr>
          <w:trHeight w:val="301"/>
        </w:trPr>
        <w:tc>
          <w:tcPr>
            <w:tcW w:w="1882" w:type="dxa"/>
            <w:vMerge w:val="restart"/>
            <w:tcBorders>
              <w:top w:val="nil"/>
              <w:left w:val="single" w:sz="4" w:space="0" w:color="auto"/>
              <w:bottom w:val="single" w:sz="4" w:space="0" w:color="000000"/>
              <w:right w:val="single" w:sz="4" w:space="0" w:color="auto"/>
            </w:tcBorders>
            <w:shd w:val="clear" w:color="auto" w:fill="auto"/>
            <w:vAlign w:val="center"/>
            <w:hideMark/>
          </w:tcPr>
          <w:p w:rsidR="00701B0D" w:rsidRPr="00410336" w:rsidRDefault="00701B0D" w:rsidP="00410336">
            <w:pPr>
              <w:spacing w:line="240" w:lineRule="auto"/>
              <w:rPr>
                <w:rFonts w:ascii="Arial Narrow" w:hAnsi="Arial Narrow" w:cstheme="minorHAnsi"/>
                <w:color w:val="000000"/>
                <w:sz w:val="20"/>
                <w:szCs w:val="20"/>
              </w:rPr>
            </w:pPr>
            <w:r w:rsidRPr="00410336">
              <w:rPr>
                <w:rFonts w:ascii="Arial Narrow" w:hAnsi="Arial Narrow" w:cstheme="minorHAnsi"/>
                <w:b/>
                <w:bCs/>
                <w:color w:val="000000"/>
                <w:sz w:val="20"/>
                <w:szCs w:val="20"/>
              </w:rPr>
              <w:t>2</w:t>
            </w:r>
            <w:r w:rsidR="00C103AD" w:rsidRPr="00C103AD">
              <w:rPr>
                <w:rFonts w:ascii="Arial Narrow" w:hAnsi="Arial Narrow" w:cs="Calibri"/>
                <w:bCs/>
                <w:color w:val="000000"/>
                <w:sz w:val="20"/>
                <w:szCs w:val="20"/>
              </w:rPr>
              <w:t>—</w:t>
            </w:r>
            <w:r w:rsidRPr="00410336">
              <w:rPr>
                <w:rFonts w:ascii="Arial Narrow" w:hAnsi="Arial Narrow" w:cstheme="minorHAnsi"/>
                <w:i/>
                <w:iCs/>
                <w:color w:val="000000"/>
                <w:sz w:val="20"/>
                <w:szCs w:val="20"/>
              </w:rPr>
              <w:t>Gases</w:t>
            </w:r>
          </w:p>
        </w:tc>
        <w:tc>
          <w:tcPr>
            <w:tcW w:w="810" w:type="dxa"/>
            <w:tcBorders>
              <w:top w:val="nil"/>
              <w:left w:val="nil"/>
              <w:bottom w:val="single" w:sz="4" w:space="0" w:color="auto"/>
              <w:right w:val="single" w:sz="4" w:space="0" w:color="auto"/>
            </w:tcBorders>
            <w:shd w:val="clear" w:color="auto" w:fill="auto"/>
            <w:vAlign w:val="center"/>
            <w:hideMark/>
          </w:tcPr>
          <w:p w:rsidR="00701B0D" w:rsidRPr="00410336" w:rsidRDefault="00701B0D" w:rsidP="00701B0D">
            <w:pPr>
              <w:spacing w:line="240" w:lineRule="auto"/>
              <w:jc w:val="center"/>
              <w:rPr>
                <w:rFonts w:ascii="Arial Narrow" w:hAnsi="Arial Narrow" w:cstheme="minorHAnsi"/>
                <w:color w:val="000000"/>
                <w:sz w:val="20"/>
                <w:szCs w:val="20"/>
              </w:rPr>
            </w:pPr>
            <w:r w:rsidRPr="00410336">
              <w:rPr>
                <w:rFonts w:ascii="Arial Narrow" w:hAnsi="Arial Narrow" w:cstheme="minorHAnsi"/>
                <w:color w:val="000000"/>
                <w:sz w:val="20"/>
                <w:szCs w:val="20"/>
              </w:rPr>
              <w:t>1950</w:t>
            </w:r>
          </w:p>
        </w:tc>
        <w:tc>
          <w:tcPr>
            <w:tcW w:w="1080" w:type="dxa"/>
            <w:tcBorders>
              <w:top w:val="nil"/>
              <w:left w:val="nil"/>
              <w:bottom w:val="single" w:sz="4" w:space="0" w:color="auto"/>
              <w:right w:val="single" w:sz="4" w:space="0" w:color="auto"/>
            </w:tcBorders>
            <w:shd w:val="clear" w:color="auto" w:fill="auto"/>
            <w:vAlign w:val="center"/>
            <w:hideMark/>
          </w:tcPr>
          <w:p w:rsidR="00701B0D" w:rsidRPr="00410336" w:rsidRDefault="00701B0D" w:rsidP="00701B0D">
            <w:pPr>
              <w:spacing w:line="240" w:lineRule="auto"/>
              <w:jc w:val="center"/>
              <w:rPr>
                <w:rFonts w:ascii="Arial Narrow" w:hAnsi="Arial Narrow" w:cstheme="minorHAnsi"/>
                <w:color w:val="000000"/>
                <w:sz w:val="20"/>
                <w:szCs w:val="20"/>
              </w:rPr>
            </w:pPr>
            <w:r w:rsidRPr="00410336">
              <w:rPr>
                <w:rFonts w:ascii="Arial Narrow" w:hAnsi="Arial Narrow" w:cstheme="minorHAnsi"/>
                <w:color w:val="000000"/>
                <w:sz w:val="20"/>
                <w:szCs w:val="20"/>
              </w:rPr>
              <w:t>2.1</w:t>
            </w:r>
            <w:r w:rsidR="00C103AD">
              <w:rPr>
                <w:rFonts w:ascii="Arial Narrow" w:hAnsi="Arial Narrow" w:cstheme="minorHAnsi"/>
                <w:color w:val="000000"/>
                <w:sz w:val="20"/>
                <w:szCs w:val="20"/>
              </w:rPr>
              <w:t xml:space="preserve"> </w:t>
            </w:r>
            <w:r w:rsidRPr="00410336">
              <w:rPr>
                <w:rFonts w:ascii="Arial Narrow" w:hAnsi="Arial Narrow" w:cstheme="minorHAnsi"/>
                <w:color w:val="000000"/>
                <w:sz w:val="20"/>
                <w:szCs w:val="20"/>
              </w:rPr>
              <w:t>/</w:t>
            </w:r>
            <w:r w:rsidR="00C103AD">
              <w:rPr>
                <w:rFonts w:ascii="Arial Narrow" w:hAnsi="Arial Narrow" w:cstheme="minorHAnsi"/>
                <w:color w:val="000000"/>
                <w:sz w:val="20"/>
                <w:szCs w:val="20"/>
              </w:rPr>
              <w:t xml:space="preserve"> </w:t>
            </w:r>
            <w:r w:rsidRPr="00410336">
              <w:rPr>
                <w:rFonts w:ascii="Arial Narrow" w:hAnsi="Arial Narrow" w:cstheme="minorHAnsi"/>
                <w:color w:val="000000"/>
                <w:sz w:val="20"/>
                <w:szCs w:val="20"/>
              </w:rPr>
              <w:t>2.2</w:t>
            </w:r>
          </w:p>
        </w:tc>
        <w:tc>
          <w:tcPr>
            <w:tcW w:w="1440" w:type="dxa"/>
            <w:tcBorders>
              <w:top w:val="nil"/>
              <w:left w:val="nil"/>
              <w:bottom w:val="single" w:sz="4" w:space="0" w:color="auto"/>
              <w:right w:val="single" w:sz="4" w:space="0" w:color="auto"/>
            </w:tcBorders>
            <w:shd w:val="clear" w:color="auto" w:fill="auto"/>
            <w:vAlign w:val="center"/>
            <w:hideMark/>
          </w:tcPr>
          <w:p w:rsidR="00701B0D" w:rsidRPr="00410336" w:rsidRDefault="00425C5D" w:rsidP="00701B0D">
            <w:pPr>
              <w:spacing w:line="240" w:lineRule="auto"/>
              <w:jc w:val="center"/>
              <w:rPr>
                <w:rFonts w:ascii="Arial Narrow" w:hAnsi="Arial Narrow" w:cstheme="minorHAnsi"/>
                <w:color w:val="000000"/>
                <w:sz w:val="20"/>
                <w:szCs w:val="20"/>
              </w:rPr>
            </w:pPr>
            <w:r w:rsidRPr="00410336">
              <w:rPr>
                <w:rFonts w:ascii="Arial Narrow" w:hAnsi="Arial Narrow" w:cstheme="minorHAnsi"/>
                <w:color w:val="000000"/>
                <w:sz w:val="20"/>
                <w:szCs w:val="20"/>
              </w:rPr>
              <w:t>NA</w:t>
            </w:r>
          </w:p>
        </w:tc>
        <w:tc>
          <w:tcPr>
            <w:tcW w:w="4452" w:type="dxa"/>
            <w:tcBorders>
              <w:top w:val="nil"/>
              <w:left w:val="nil"/>
              <w:bottom w:val="single" w:sz="4" w:space="0" w:color="auto"/>
              <w:right w:val="single" w:sz="4" w:space="0" w:color="auto"/>
            </w:tcBorders>
            <w:shd w:val="clear" w:color="auto" w:fill="auto"/>
            <w:vAlign w:val="center"/>
            <w:hideMark/>
          </w:tcPr>
          <w:p w:rsidR="00701B0D" w:rsidRPr="00410336" w:rsidRDefault="00701B0D" w:rsidP="00410336">
            <w:pPr>
              <w:spacing w:line="240" w:lineRule="auto"/>
              <w:rPr>
                <w:rFonts w:ascii="Arial Narrow" w:hAnsi="Arial Narrow" w:cstheme="minorHAnsi"/>
                <w:color w:val="000000"/>
                <w:sz w:val="20"/>
                <w:szCs w:val="20"/>
              </w:rPr>
            </w:pPr>
            <w:r w:rsidRPr="00410336">
              <w:rPr>
                <w:rFonts w:ascii="Arial Narrow" w:hAnsi="Arial Narrow" w:cstheme="minorHAnsi"/>
                <w:color w:val="000000"/>
                <w:sz w:val="20"/>
                <w:szCs w:val="20"/>
              </w:rPr>
              <w:t>NA</w:t>
            </w:r>
          </w:p>
        </w:tc>
      </w:tr>
      <w:tr w:rsidR="00701B0D" w:rsidRPr="00391C55" w:rsidTr="00410336">
        <w:trPr>
          <w:trHeight w:val="301"/>
        </w:trPr>
        <w:tc>
          <w:tcPr>
            <w:tcW w:w="1882" w:type="dxa"/>
            <w:vMerge/>
            <w:tcBorders>
              <w:top w:val="nil"/>
              <w:left w:val="single" w:sz="4" w:space="0" w:color="auto"/>
              <w:bottom w:val="single" w:sz="4" w:space="0" w:color="000000"/>
              <w:right w:val="single" w:sz="4" w:space="0" w:color="auto"/>
            </w:tcBorders>
            <w:vAlign w:val="center"/>
            <w:hideMark/>
          </w:tcPr>
          <w:p w:rsidR="00701B0D" w:rsidRPr="00410336" w:rsidRDefault="00701B0D">
            <w:pPr>
              <w:spacing w:line="240" w:lineRule="auto"/>
              <w:rPr>
                <w:rFonts w:ascii="Arial Narrow" w:hAnsi="Arial Narrow" w:cstheme="minorHAnsi"/>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701B0D" w:rsidRPr="00410336" w:rsidRDefault="00701B0D" w:rsidP="00701B0D">
            <w:pPr>
              <w:spacing w:line="240" w:lineRule="auto"/>
              <w:jc w:val="center"/>
              <w:rPr>
                <w:rFonts w:ascii="Arial Narrow" w:hAnsi="Arial Narrow" w:cstheme="minorHAnsi"/>
                <w:color w:val="000000"/>
                <w:sz w:val="20"/>
                <w:szCs w:val="20"/>
              </w:rPr>
            </w:pPr>
            <w:r w:rsidRPr="00410336">
              <w:rPr>
                <w:rFonts w:ascii="Arial Narrow" w:hAnsi="Arial Narrow" w:cstheme="minorHAnsi"/>
                <w:color w:val="000000"/>
                <w:sz w:val="20"/>
                <w:szCs w:val="20"/>
              </w:rPr>
              <w:t>2037</w:t>
            </w:r>
          </w:p>
        </w:tc>
        <w:tc>
          <w:tcPr>
            <w:tcW w:w="1080" w:type="dxa"/>
            <w:tcBorders>
              <w:top w:val="nil"/>
              <w:left w:val="nil"/>
              <w:bottom w:val="single" w:sz="4" w:space="0" w:color="auto"/>
              <w:right w:val="single" w:sz="4" w:space="0" w:color="auto"/>
            </w:tcBorders>
            <w:shd w:val="clear" w:color="auto" w:fill="auto"/>
            <w:vAlign w:val="center"/>
            <w:hideMark/>
          </w:tcPr>
          <w:p w:rsidR="00701B0D" w:rsidRPr="00410336" w:rsidRDefault="00701B0D" w:rsidP="00701B0D">
            <w:pPr>
              <w:spacing w:line="240" w:lineRule="auto"/>
              <w:jc w:val="center"/>
              <w:rPr>
                <w:rFonts w:ascii="Arial Narrow" w:hAnsi="Arial Narrow" w:cstheme="minorHAnsi"/>
                <w:color w:val="000000"/>
                <w:sz w:val="20"/>
                <w:szCs w:val="20"/>
              </w:rPr>
            </w:pPr>
            <w:r w:rsidRPr="00410336">
              <w:rPr>
                <w:rFonts w:ascii="Arial Narrow" w:hAnsi="Arial Narrow" w:cstheme="minorHAnsi"/>
                <w:color w:val="000000"/>
                <w:sz w:val="20"/>
                <w:szCs w:val="20"/>
              </w:rPr>
              <w:t>2.1</w:t>
            </w:r>
            <w:r w:rsidR="00C103AD">
              <w:rPr>
                <w:rFonts w:ascii="Arial Narrow" w:hAnsi="Arial Narrow" w:cstheme="minorHAnsi"/>
                <w:color w:val="000000"/>
                <w:sz w:val="20"/>
                <w:szCs w:val="20"/>
              </w:rPr>
              <w:t xml:space="preserve"> </w:t>
            </w:r>
            <w:r w:rsidRPr="00410336">
              <w:rPr>
                <w:rFonts w:ascii="Arial Narrow" w:hAnsi="Arial Narrow" w:cstheme="minorHAnsi"/>
                <w:color w:val="000000"/>
                <w:sz w:val="20"/>
                <w:szCs w:val="20"/>
              </w:rPr>
              <w:t>/</w:t>
            </w:r>
            <w:r w:rsidR="00C103AD">
              <w:rPr>
                <w:rFonts w:ascii="Arial Narrow" w:hAnsi="Arial Narrow" w:cstheme="minorHAnsi"/>
                <w:color w:val="000000"/>
                <w:sz w:val="20"/>
                <w:szCs w:val="20"/>
              </w:rPr>
              <w:t xml:space="preserve"> </w:t>
            </w:r>
            <w:r w:rsidRPr="00410336">
              <w:rPr>
                <w:rFonts w:ascii="Arial Narrow" w:hAnsi="Arial Narrow" w:cstheme="minorHAnsi"/>
                <w:color w:val="000000"/>
                <w:sz w:val="20"/>
                <w:szCs w:val="20"/>
              </w:rPr>
              <w:t>2.2</w:t>
            </w:r>
          </w:p>
        </w:tc>
        <w:tc>
          <w:tcPr>
            <w:tcW w:w="1440" w:type="dxa"/>
            <w:tcBorders>
              <w:top w:val="nil"/>
              <w:left w:val="nil"/>
              <w:bottom w:val="single" w:sz="4" w:space="0" w:color="auto"/>
              <w:right w:val="single" w:sz="4" w:space="0" w:color="auto"/>
            </w:tcBorders>
            <w:shd w:val="clear" w:color="auto" w:fill="auto"/>
            <w:vAlign w:val="center"/>
            <w:hideMark/>
          </w:tcPr>
          <w:p w:rsidR="00701B0D" w:rsidRPr="00410336" w:rsidRDefault="00425C5D" w:rsidP="00701B0D">
            <w:pPr>
              <w:spacing w:line="240" w:lineRule="auto"/>
              <w:jc w:val="center"/>
              <w:rPr>
                <w:rFonts w:ascii="Arial Narrow" w:hAnsi="Arial Narrow" w:cstheme="minorHAnsi"/>
                <w:color w:val="000000"/>
                <w:sz w:val="20"/>
                <w:szCs w:val="20"/>
              </w:rPr>
            </w:pPr>
            <w:r w:rsidRPr="00410336">
              <w:rPr>
                <w:rFonts w:ascii="Arial Narrow" w:hAnsi="Arial Narrow" w:cstheme="minorHAnsi"/>
                <w:color w:val="000000"/>
                <w:sz w:val="20"/>
                <w:szCs w:val="20"/>
              </w:rPr>
              <w:t>NA</w:t>
            </w:r>
          </w:p>
        </w:tc>
        <w:tc>
          <w:tcPr>
            <w:tcW w:w="4452" w:type="dxa"/>
            <w:tcBorders>
              <w:top w:val="nil"/>
              <w:left w:val="nil"/>
              <w:bottom w:val="single" w:sz="4" w:space="0" w:color="auto"/>
              <w:right w:val="single" w:sz="4" w:space="0" w:color="auto"/>
            </w:tcBorders>
            <w:shd w:val="clear" w:color="auto" w:fill="auto"/>
            <w:vAlign w:val="center"/>
            <w:hideMark/>
          </w:tcPr>
          <w:p w:rsidR="00701B0D" w:rsidRPr="00410336" w:rsidRDefault="00701B0D" w:rsidP="00410336">
            <w:pPr>
              <w:spacing w:line="240" w:lineRule="auto"/>
              <w:rPr>
                <w:rFonts w:ascii="Arial Narrow" w:hAnsi="Arial Narrow" w:cstheme="minorHAnsi"/>
                <w:color w:val="000000"/>
                <w:sz w:val="20"/>
                <w:szCs w:val="20"/>
              </w:rPr>
            </w:pPr>
            <w:r w:rsidRPr="00410336">
              <w:rPr>
                <w:rFonts w:ascii="Arial Narrow" w:hAnsi="Arial Narrow" w:cstheme="minorHAnsi"/>
                <w:color w:val="000000"/>
                <w:sz w:val="20"/>
                <w:szCs w:val="20"/>
              </w:rPr>
              <w:t xml:space="preserve">No subsidiary </w:t>
            </w:r>
            <w:r w:rsidR="00522B60">
              <w:rPr>
                <w:rFonts w:ascii="Arial Narrow" w:hAnsi="Arial Narrow" w:cstheme="minorHAnsi"/>
                <w:color w:val="000000"/>
                <w:sz w:val="20"/>
                <w:szCs w:val="20"/>
              </w:rPr>
              <w:t>hazard</w:t>
            </w:r>
          </w:p>
        </w:tc>
      </w:tr>
      <w:tr w:rsidR="00701B0D" w:rsidRPr="00391C55" w:rsidTr="00410336">
        <w:trPr>
          <w:trHeight w:val="432"/>
        </w:trPr>
        <w:tc>
          <w:tcPr>
            <w:tcW w:w="1882" w:type="dxa"/>
            <w:tcBorders>
              <w:top w:val="nil"/>
              <w:left w:val="single" w:sz="4" w:space="0" w:color="auto"/>
              <w:bottom w:val="single" w:sz="4" w:space="0" w:color="auto"/>
              <w:right w:val="single" w:sz="4" w:space="0" w:color="auto"/>
            </w:tcBorders>
            <w:shd w:val="clear" w:color="auto" w:fill="auto"/>
            <w:vAlign w:val="center"/>
            <w:hideMark/>
          </w:tcPr>
          <w:p w:rsidR="00701B0D" w:rsidRPr="00410336" w:rsidRDefault="00701B0D" w:rsidP="00410336">
            <w:pPr>
              <w:spacing w:line="240" w:lineRule="auto"/>
              <w:rPr>
                <w:rFonts w:ascii="Arial Narrow" w:hAnsi="Arial Narrow" w:cstheme="minorHAnsi"/>
                <w:color w:val="000000"/>
                <w:sz w:val="20"/>
                <w:szCs w:val="20"/>
              </w:rPr>
            </w:pPr>
            <w:r w:rsidRPr="00410336">
              <w:rPr>
                <w:rFonts w:ascii="Arial Narrow" w:hAnsi="Arial Narrow" w:cstheme="minorHAnsi"/>
                <w:b/>
                <w:bCs/>
                <w:color w:val="000000"/>
                <w:sz w:val="20"/>
                <w:szCs w:val="20"/>
              </w:rPr>
              <w:t>3</w:t>
            </w:r>
            <w:r w:rsidR="00C103AD" w:rsidRPr="00C103AD">
              <w:rPr>
                <w:rFonts w:ascii="Arial Narrow" w:hAnsi="Arial Narrow" w:cs="Calibri"/>
                <w:bCs/>
                <w:color w:val="000000"/>
                <w:sz w:val="20"/>
                <w:szCs w:val="20"/>
              </w:rPr>
              <w:t>—</w:t>
            </w:r>
            <w:r w:rsidR="004D6D52" w:rsidRPr="00410336">
              <w:rPr>
                <w:rFonts w:ascii="Arial Narrow" w:hAnsi="Arial Narrow" w:cstheme="minorHAnsi"/>
                <w:i/>
                <w:iCs/>
                <w:color w:val="000000"/>
                <w:sz w:val="20"/>
                <w:szCs w:val="20"/>
              </w:rPr>
              <w:t>F</w:t>
            </w:r>
            <w:r w:rsidRPr="00410336">
              <w:rPr>
                <w:rFonts w:ascii="Arial Narrow" w:hAnsi="Arial Narrow" w:cstheme="minorHAnsi"/>
                <w:i/>
                <w:iCs/>
                <w:color w:val="000000"/>
                <w:sz w:val="20"/>
                <w:szCs w:val="20"/>
              </w:rPr>
              <w:t xml:space="preserve">lammable </w:t>
            </w:r>
            <w:r w:rsidR="003A1CA3">
              <w:rPr>
                <w:rFonts w:ascii="Arial Narrow" w:hAnsi="Arial Narrow" w:cstheme="minorHAnsi"/>
                <w:i/>
                <w:iCs/>
                <w:color w:val="000000"/>
                <w:sz w:val="20"/>
                <w:szCs w:val="20"/>
              </w:rPr>
              <w:t>L</w:t>
            </w:r>
            <w:r w:rsidRPr="00410336">
              <w:rPr>
                <w:rFonts w:ascii="Arial Narrow" w:hAnsi="Arial Narrow" w:cstheme="minorHAnsi"/>
                <w:i/>
                <w:iCs/>
                <w:color w:val="000000"/>
                <w:sz w:val="20"/>
                <w:szCs w:val="20"/>
              </w:rPr>
              <w:t>iquids</w:t>
            </w:r>
          </w:p>
        </w:tc>
        <w:tc>
          <w:tcPr>
            <w:tcW w:w="810" w:type="dxa"/>
            <w:tcBorders>
              <w:top w:val="nil"/>
              <w:left w:val="nil"/>
              <w:bottom w:val="single" w:sz="4" w:space="0" w:color="auto"/>
              <w:right w:val="single" w:sz="4" w:space="0" w:color="auto"/>
            </w:tcBorders>
            <w:shd w:val="clear" w:color="auto" w:fill="auto"/>
            <w:vAlign w:val="center"/>
            <w:hideMark/>
          </w:tcPr>
          <w:p w:rsidR="00701B0D" w:rsidRPr="00410336" w:rsidRDefault="00425C5D" w:rsidP="00701B0D">
            <w:pPr>
              <w:spacing w:line="240" w:lineRule="auto"/>
              <w:jc w:val="center"/>
              <w:rPr>
                <w:rFonts w:ascii="Arial Narrow" w:hAnsi="Arial Narrow" w:cstheme="minorHAnsi"/>
                <w:color w:val="000000"/>
                <w:sz w:val="20"/>
                <w:szCs w:val="20"/>
              </w:rPr>
            </w:pPr>
            <w:r w:rsidRPr="00410336">
              <w:rPr>
                <w:rFonts w:ascii="Arial Narrow" w:hAnsi="Arial Narrow" w:cstheme="minorHAnsi"/>
                <w:color w:val="000000"/>
                <w:sz w:val="20"/>
                <w:szCs w:val="20"/>
              </w:rPr>
              <w:t>NA</w:t>
            </w:r>
          </w:p>
        </w:tc>
        <w:tc>
          <w:tcPr>
            <w:tcW w:w="1080" w:type="dxa"/>
            <w:tcBorders>
              <w:top w:val="nil"/>
              <w:left w:val="nil"/>
              <w:bottom w:val="single" w:sz="4" w:space="0" w:color="auto"/>
              <w:right w:val="single" w:sz="4" w:space="0" w:color="auto"/>
            </w:tcBorders>
            <w:shd w:val="clear" w:color="auto" w:fill="auto"/>
            <w:vAlign w:val="center"/>
            <w:hideMark/>
          </w:tcPr>
          <w:p w:rsidR="00701B0D" w:rsidRPr="00410336" w:rsidRDefault="00425C5D" w:rsidP="00701B0D">
            <w:pPr>
              <w:spacing w:line="240" w:lineRule="auto"/>
              <w:jc w:val="center"/>
              <w:rPr>
                <w:rFonts w:ascii="Arial Narrow" w:hAnsi="Arial Narrow" w:cstheme="minorHAnsi"/>
                <w:color w:val="000000"/>
                <w:sz w:val="20"/>
                <w:szCs w:val="20"/>
              </w:rPr>
            </w:pPr>
            <w:r w:rsidRPr="00410336">
              <w:rPr>
                <w:rFonts w:ascii="Arial Narrow" w:hAnsi="Arial Narrow" w:cstheme="minorHAnsi"/>
                <w:color w:val="000000"/>
                <w:sz w:val="20"/>
                <w:szCs w:val="20"/>
              </w:rPr>
              <w:t>NA</w:t>
            </w:r>
          </w:p>
        </w:tc>
        <w:tc>
          <w:tcPr>
            <w:tcW w:w="1440" w:type="dxa"/>
            <w:tcBorders>
              <w:top w:val="nil"/>
              <w:left w:val="nil"/>
              <w:bottom w:val="single" w:sz="4" w:space="0" w:color="auto"/>
              <w:right w:val="single" w:sz="4" w:space="0" w:color="auto"/>
            </w:tcBorders>
            <w:shd w:val="clear" w:color="auto" w:fill="auto"/>
            <w:vAlign w:val="center"/>
            <w:hideMark/>
          </w:tcPr>
          <w:p w:rsidR="00701B0D" w:rsidRPr="00410336" w:rsidRDefault="00701B0D" w:rsidP="00701B0D">
            <w:pPr>
              <w:spacing w:line="240" w:lineRule="auto"/>
              <w:jc w:val="center"/>
              <w:rPr>
                <w:rFonts w:ascii="Arial Narrow" w:hAnsi="Arial Narrow" w:cstheme="minorHAnsi"/>
                <w:color w:val="000000"/>
                <w:sz w:val="20"/>
                <w:szCs w:val="20"/>
              </w:rPr>
            </w:pPr>
            <w:r w:rsidRPr="00410336">
              <w:rPr>
                <w:rFonts w:ascii="Arial Narrow" w:hAnsi="Arial Narrow" w:cstheme="minorHAnsi"/>
                <w:color w:val="000000"/>
                <w:sz w:val="20"/>
                <w:szCs w:val="20"/>
              </w:rPr>
              <w:t>II and III</w:t>
            </w:r>
          </w:p>
        </w:tc>
        <w:tc>
          <w:tcPr>
            <w:tcW w:w="4452" w:type="dxa"/>
            <w:tcBorders>
              <w:top w:val="nil"/>
              <w:left w:val="nil"/>
              <w:bottom w:val="single" w:sz="4" w:space="0" w:color="auto"/>
              <w:right w:val="single" w:sz="4" w:space="0" w:color="auto"/>
            </w:tcBorders>
            <w:shd w:val="clear" w:color="auto" w:fill="auto"/>
            <w:vAlign w:val="center"/>
            <w:hideMark/>
          </w:tcPr>
          <w:p w:rsidR="00701B0D" w:rsidRPr="00410336" w:rsidRDefault="00425C5D" w:rsidP="00410336">
            <w:pPr>
              <w:spacing w:line="240" w:lineRule="auto"/>
              <w:rPr>
                <w:rFonts w:ascii="Arial Narrow" w:hAnsi="Arial Narrow" w:cstheme="minorHAnsi"/>
                <w:color w:val="000000"/>
                <w:sz w:val="20"/>
                <w:szCs w:val="20"/>
              </w:rPr>
            </w:pPr>
            <w:r w:rsidRPr="00410336">
              <w:rPr>
                <w:rFonts w:ascii="Arial Narrow" w:hAnsi="Arial Narrow" w:cstheme="minorHAnsi"/>
                <w:color w:val="000000"/>
                <w:sz w:val="20"/>
                <w:szCs w:val="20"/>
              </w:rPr>
              <w:t>NA</w:t>
            </w:r>
          </w:p>
        </w:tc>
      </w:tr>
      <w:tr w:rsidR="00701B0D" w:rsidRPr="00391C55" w:rsidTr="00410336">
        <w:trPr>
          <w:trHeight w:val="432"/>
        </w:trPr>
        <w:tc>
          <w:tcPr>
            <w:tcW w:w="1882" w:type="dxa"/>
            <w:vMerge w:val="restart"/>
            <w:tcBorders>
              <w:top w:val="nil"/>
              <w:left w:val="single" w:sz="4" w:space="0" w:color="auto"/>
              <w:bottom w:val="single" w:sz="4" w:space="0" w:color="000000"/>
              <w:right w:val="single" w:sz="4" w:space="0" w:color="auto"/>
            </w:tcBorders>
            <w:shd w:val="clear" w:color="auto" w:fill="auto"/>
            <w:vAlign w:val="center"/>
            <w:hideMark/>
          </w:tcPr>
          <w:p w:rsidR="00701B0D" w:rsidRPr="00410336" w:rsidRDefault="00701B0D" w:rsidP="00410336">
            <w:pPr>
              <w:spacing w:line="240" w:lineRule="auto"/>
              <w:rPr>
                <w:rFonts w:ascii="Arial Narrow" w:hAnsi="Arial Narrow" w:cstheme="minorHAnsi"/>
                <w:color w:val="000000"/>
                <w:sz w:val="20"/>
                <w:szCs w:val="20"/>
              </w:rPr>
            </w:pPr>
            <w:r w:rsidRPr="00410336">
              <w:rPr>
                <w:rFonts w:ascii="Arial Narrow" w:hAnsi="Arial Narrow" w:cstheme="minorHAnsi"/>
                <w:b/>
                <w:bCs/>
                <w:color w:val="000000"/>
                <w:sz w:val="20"/>
                <w:szCs w:val="20"/>
              </w:rPr>
              <w:t>4</w:t>
            </w:r>
            <w:r w:rsidR="00C103AD" w:rsidRPr="00C103AD">
              <w:rPr>
                <w:rFonts w:ascii="Arial Narrow" w:hAnsi="Arial Narrow" w:cs="Calibri"/>
                <w:bCs/>
                <w:color w:val="000000"/>
                <w:sz w:val="20"/>
                <w:szCs w:val="20"/>
              </w:rPr>
              <w:t>—</w:t>
            </w:r>
            <w:r w:rsidRPr="00410336">
              <w:rPr>
                <w:rFonts w:ascii="Arial Narrow" w:hAnsi="Arial Narrow" w:cstheme="minorHAnsi"/>
                <w:i/>
                <w:iCs/>
                <w:color w:val="000000"/>
                <w:sz w:val="20"/>
                <w:szCs w:val="20"/>
              </w:rPr>
              <w:t xml:space="preserve">Flammable </w:t>
            </w:r>
            <w:r w:rsidR="003A1CA3">
              <w:rPr>
                <w:rFonts w:ascii="Arial Narrow" w:hAnsi="Arial Narrow" w:cstheme="minorHAnsi"/>
                <w:i/>
                <w:iCs/>
                <w:color w:val="000000"/>
                <w:sz w:val="20"/>
                <w:szCs w:val="20"/>
              </w:rPr>
              <w:t>S</w:t>
            </w:r>
            <w:r w:rsidRPr="00410336">
              <w:rPr>
                <w:rFonts w:ascii="Arial Narrow" w:hAnsi="Arial Narrow" w:cstheme="minorHAnsi"/>
                <w:i/>
                <w:iCs/>
                <w:color w:val="000000"/>
                <w:sz w:val="20"/>
                <w:szCs w:val="20"/>
              </w:rPr>
              <w:t>olids</w:t>
            </w:r>
          </w:p>
        </w:tc>
        <w:tc>
          <w:tcPr>
            <w:tcW w:w="810" w:type="dxa"/>
            <w:vMerge w:val="restart"/>
            <w:tcBorders>
              <w:top w:val="nil"/>
              <w:left w:val="single" w:sz="4" w:space="0" w:color="auto"/>
              <w:bottom w:val="single" w:sz="4" w:space="0" w:color="000000"/>
              <w:right w:val="single" w:sz="4" w:space="0" w:color="auto"/>
            </w:tcBorders>
            <w:shd w:val="clear" w:color="auto" w:fill="auto"/>
            <w:vAlign w:val="center"/>
            <w:hideMark/>
          </w:tcPr>
          <w:p w:rsidR="00701B0D" w:rsidRPr="00410336" w:rsidRDefault="00425C5D" w:rsidP="00701B0D">
            <w:pPr>
              <w:spacing w:line="240" w:lineRule="auto"/>
              <w:jc w:val="center"/>
              <w:rPr>
                <w:rFonts w:ascii="Arial Narrow" w:hAnsi="Arial Narrow" w:cstheme="minorHAnsi"/>
                <w:color w:val="000000"/>
                <w:sz w:val="20"/>
                <w:szCs w:val="20"/>
              </w:rPr>
            </w:pPr>
            <w:r w:rsidRPr="00410336">
              <w:rPr>
                <w:rFonts w:ascii="Arial Narrow" w:hAnsi="Arial Narrow" w:cstheme="minorHAnsi"/>
                <w:color w:val="000000"/>
                <w:sz w:val="20"/>
                <w:szCs w:val="20"/>
              </w:rPr>
              <w:t>NA</w:t>
            </w:r>
          </w:p>
        </w:tc>
        <w:tc>
          <w:tcPr>
            <w:tcW w:w="1080" w:type="dxa"/>
            <w:tcBorders>
              <w:top w:val="nil"/>
              <w:left w:val="nil"/>
              <w:bottom w:val="single" w:sz="4" w:space="0" w:color="auto"/>
              <w:right w:val="single" w:sz="4" w:space="0" w:color="auto"/>
            </w:tcBorders>
            <w:shd w:val="clear" w:color="auto" w:fill="auto"/>
            <w:vAlign w:val="center"/>
            <w:hideMark/>
          </w:tcPr>
          <w:p w:rsidR="00701B0D" w:rsidRPr="00410336" w:rsidRDefault="00701B0D" w:rsidP="00701B0D">
            <w:pPr>
              <w:spacing w:line="240" w:lineRule="auto"/>
              <w:jc w:val="center"/>
              <w:rPr>
                <w:rFonts w:ascii="Arial Narrow" w:hAnsi="Arial Narrow" w:cstheme="minorHAnsi"/>
                <w:color w:val="000000"/>
                <w:sz w:val="20"/>
                <w:szCs w:val="20"/>
              </w:rPr>
            </w:pPr>
            <w:r w:rsidRPr="00410336">
              <w:rPr>
                <w:rFonts w:ascii="Arial Narrow" w:hAnsi="Arial Narrow" w:cstheme="minorHAnsi"/>
                <w:color w:val="000000"/>
                <w:sz w:val="20"/>
                <w:szCs w:val="20"/>
              </w:rPr>
              <w:t>4.1</w:t>
            </w:r>
          </w:p>
        </w:tc>
        <w:tc>
          <w:tcPr>
            <w:tcW w:w="1440" w:type="dxa"/>
            <w:tcBorders>
              <w:top w:val="nil"/>
              <w:left w:val="nil"/>
              <w:bottom w:val="single" w:sz="4" w:space="0" w:color="auto"/>
              <w:right w:val="single" w:sz="4" w:space="0" w:color="auto"/>
            </w:tcBorders>
            <w:shd w:val="clear" w:color="auto" w:fill="auto"/>
            <w:vAlign w:val="center"/>
            <w:hideMark/>
          </w:tcPr>
          <w:p w:rsidR="00701B0D" w:rsidRPr="00410336" w:rsidRDefault="00701B0D" w:rsidP="00701B0D">
            <w:pPr>
              <w:spacing w:line="240" w:lineRule="auto"/>
              <w:jc w:val="center"/>
              <w:rPr>
                <w:rFonts w:ascii="Arial Narrow" w:hAnsi="Arial Narrow" w:cstheme="minorHAnsi"/>
                <w:color w:val="000000"/>
                <w:sz w:val="20"/>
                <w:szCs w:val="20"/>
              </w:rPr>
            </w:pPr>
            <w:r w:rsidRPr="00410336">
              <w:rPr>
                <w:rFonts w:ascii="Arial Narrow" w:hAnsi="Arial Narrow" w:cstheme="minorHAnsi"/>
                <w:color w:val="000000"/>
                <w:sz w:val="20"/>
                <w:szCs w:val="20"/>
              </w:rPr>
              <w:t>II and III</w:t>
            </w:r>
          </w:p>
        </w:tc>
        <w:tc>
          <w:tcPr>
            <w:tcW w:w="4452" w:type="dxa"/>
            <w:tcBorders>
              <w:top w:val="nil"/>
              <w:left w:val="nil"/>
              <w:bottom w:val="single" w:sz="4" w:space="0" w:color="auto"/>
              <w:right w:val="single" w:sz="4" w:space="0" w:color="auto"/>
            </w:tcBorders>
            <w:shd w:val="clear" w:color="auto" w:fill="auto"/>
            <w:vAlign w:val="center"/>
            <w:hideMark/>
          </w:tcPr>
          <w:p w:rsidR="00701B0D" w:rsidRPr="00410336" w:rsidRDefault="00701B0D" w:rsidP="00410336">
            <w:pPr>
              <w:spacing w:line="240" w:lineRule="auto"/>
              <w:rPr>
                <w:rFonts w:ascii="Arial Narrow" w:hAnsi="Arial Narrow" w:cstheme="minorHAnsi"/>
                <w:color w:val="000000"/>
                <w:sz w:val="20"/>
                <w:szCs w:val="20"/>
              </w:rPr>
            </w:pPr>
            <w:r w:rsidRPr="00410336">
              <w:rPr>
                <w:rFonts w:ascii="Arial Narrow" w:hAnsi="Arial Narrow" w:cstheme="minorHAnsi"/>
                <w:color w:val="000000"/>
                <w:sz w:val="20"/>
                <w:szCs w:val="20"/>
              </w:rPr>
              <w:t>Excluding self-</w:t>
            </w:r>
            <w:proofErr w:type="spellStart"/>
            <w:r w:rsidRPr="00410336">
              <w:rPr>
                <w:rFonts w:ascii="Arial Narrow" w:hAnsi="Arial Narrow" w:cstheme="minorHAnsi"/>
                <w:color w:val="000000"/>
                <w:sz w:val="20"/>
                <w:szCs w:val="20"/>
              </w:rPr>
              <w:t>reactives</w:t>
            </w:r>
            <w:proofErr w:type="spellEnd"/>
            <w:r w:rsidRPr="00410336">
              <w:rPr>
                <w:rFonts w:ascii="Arial Narrow" w:hAnsi="Arial Narrow" w:cstheme="minorHAnsi"/>
                <w:color w:val="000000"/>
                <w:sz w:val="20"/>
                <w:szCs w:val="20"/>
              </w:rPr>
              <w:t xml:space="preserve"> regardless of packing group</w:t>
            </w:r>
          </w:p>
        </w:tc>
      </w:tr>
      <w:tr w:rsidR="00701B0D" w:rsidRPr="00391C55" w:rsidTr="00410336">
        <w:trPr>
          <w:trHeight w:val="407"/>
        </w:trPr>
        <w:tc>
          <w:tcPr>
            <w:tcW w:w="1882" w:type="dxa"/>
            <w:vMerge/>
            <w:tcBorders>
              <w:top w:val="nil"/>
              <w:left w:val="single" w:sz="4" w:space="0" w:color="auto"/>
              <w:bottom w:val="single" w:sz="4" w:space="0" w:color="000000"/>
              <w:right w:val="single" w:sz="4" w:space="0" w:color="auto"/>
            </w:tcBorders>
            <w:vAlign w:val="center"/>
            <w:hideMark/>
          </w:tcPr>
          <w:p w:rsidR="00701B0D" w:rsidRPr="00410336" w:rsidRDefault="00701B0D">
            <w:pPr>
              <w:spacing w:line="240" w:lineRule="auto"/>
              <w:rPr>
                <w:rFonts w:ascii="Arial Narrow" w:hAnsi="Arial Narrow" w:cstheme="minorHAnsi"/>
                <w:color w:val="000000"/>
                <w:sz w:val="20"/>
                <w:szCs w:val="20"/>
              </w:rPr>
            </w:pPr>
          </w:p>
        </w:tc>
        <w:tc>
          <w:tcPr>
            <w:tcW w:w="810" w:type="dxa"/>
            <w:vMerge/>
            <w:tcBorders>
              <w:top w:val="nil"/>
              <w:left w:val="single" w:sz="4" w:space="0" w:color="auto"/>
              <w:bottom w:val="single" w:sz="4" w:space="0" w:color="000000"/>
              <w:right w:val="single" w:sz="4" w:space="0" w:color="auto"/>
            </w:tcBorders>
            <w:vAlign w:val="center"/>
            <w:hideMark/>
          </w:tcPr>
          <w:p w:rsidR="00701B0D" w:rsidRPr="00410336" w:rsidRDefault="00701B0D" w:rsidP="00701B0D">
            <w:pPr>
              <w:spacing w:line="240" w:lineRule="auto"/>
              <w:rPr>
                <w:rFonts w:ascii="Arial Narrow" w:hAnsi="Arial Narrow" w:cstheme="minorHAnsi"/>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701B0D" w:rsidRPr="00410336" w:rsidRDefault="00701B0D" w:rsidP="00701B0D">
            <w:pPr>
              <w:spacing w:line="240" w:lineRule="auto"/>
              <w:jc w:val="center"/>
              <w:rPr>
                <w:rFonts w:ascii="Arial Narrow" w:hAnsi="Arial Narrow" w:cstheme="minorHAnsi"/>
                <w:color w:val="000000"/>
                <w:sz w:val="20"/>
                <w:szCs w:val="20"/>
              </w:rPr>
            </w:pPr>
            <w:r w:rsidRPr="00410336">
              <w:rPr>
                <w:rFonts w:ascii="Arial Narrow" w:hAnsi="Arial Narrow" w:cstheme="minorHAnsi"/>
                <w:color w:val="000000"/>
                <w:sz w:val="20"/>
                <w:szCs w:val="20"/>
              </w:rPr>
              <w:t>4.3</w:t>
            </w:r>
          </w:p>
        </w:tc>
        <w:tc>
          <w:tcPr>
            <w:tcW w:w="1440" w:type="dxa"/>
            <w:tcBorders>
              <w:top w:val="nil"/>
              <w:left w:val="nil"/>
              <w:bottom w:val="single" w:sz="4" w:space="0" w:color="auto"/>
              <w:right w:val="single" w:sz="4" w:space="0" w:color="auto"/>
            </w:tcBorders>
            <w:shd w:val="clear" w:color="auto" w:fill="auto"/>
            <w:vAlign w:val="center"/>
            <w:hideMark/>
          </w:tcPr>
          <w:p w:rsidR="00701B0D" w:rsidRPr="00410336" w:rsidRDefault="00701B0D" w:rsidP="00701B0D">
            <w:pPr>
              <w:spacing w:line="240" w:lineRule="auto"/>
              <w:jc w:val="center"/>
              <w:rPr>
                <w:rFonts w:ascii="Arial Narrow" w:hAnsi="Arial Narrow" w:cstheme="minorHAnsi"/>
                <w:color w:val="000000"/>
                <w:sz w:val="20"/>
                <w:szCs w:val="20"/>
              </w:rPr>
            </w:pPr>
            <w:r w:rsidRPr="00410336">
              <w:rPr>
                <w:rFonts w:ascii="Arial Narrow" w:hAnsi="Arial Narrow" w:cstheme="minorHAnsi"/>
                <w:color w:val="000000"/>
                <w:sz w:val="20"/>
                <w:szCs w:val="20"/>
              </w:rPr>
              <w:t>II and III</w:t>
            </w:r>
          </w:p>
        </w:tc>
        <w:tc>
          <w:tcPr>
            <w:tcW w:w="4452" w:type="dxa"/>
            <w:tcBorders>
              <w:top w:val="nil"/>
              <w:left w:val="nil"/>
              <w:bottom w:val="single" w:sz="4" w:space="0" w:color="auto"/>
              <w:right w:val="single" w:sz="4" w:space="0" w:color="auto"/>
            </w:tcBorders>
            <w:shd w:val="clear" w:color="auto" w:fill="auto"/>
            <w:vAlign w:val="center"/>
            <w:hideMark/>
          </w:tcPr>
          <w:p w:rsidR="00701B0D" w:rsidRPr="00410336" w:rsidRDefault="00425C5D" w:rsidP="00410336">
            <w:pPr>
              <w:spacing w:line="240" w:lineRule="auto"/>
              <w:rPr>
                <w:rFonts w:ascii="Arial Narrow" w:hAnsi="Arial Narrow" w:cstheme="minorHAnsi"/>
                <w:color w:val="000000"/>
                <w:sz w:val="20"/>
                <w:szCs w:val="20"/>
              </w:rPr>
            </w:pPr>
            <w:r w:rsidRPr="00410336">
              <w:rPr>
                <w:rFonts w:ascii="Arial Narrow" w:hAnsi="Arial Narrow" w:cstheme="minorHAnsi"/>
                <w:color w:val="000000"/>
                <w:sz w:val="20"/>
                <w:szCs w:val="20"/>
              </w:rPr>
              <w:t>NA</w:t>
            </w:r>
          </w:p>
        </w:tc>
      </w:tr>
      <w:tr w:rsidR="00701B0D" w:rsidRPr="00391C55" w:rsidTr="00410336">
        <w:trPr>
          <w:trHeight w:val="432"/>
        </w:trPr>
        <w:tc>
          <w:tcPr>
            <w:tcW w:w="1882" w:type="dxa"/>
            <w:vMerge w:val="restart"/>
            <w:tcBorders>
              <w:top w:val="nil"/>
              <w:left w:val="single" w:sz="4" w:space="0" w:color="auto"/>
              <w:bottom w:val="single" w:sz="4" w:space="0" w:color="000000"/>
              <w:right w:val="single" w:sz="4" w:space="0" w:color="auto"/>
            </w:tcBorders>
            <w:shd w:val="clear" w:color="auto" w:fill="auto"/>
            <w:vAlign w:val="center"/>
            <w:hideMark/>
          </w:tcPr>
          <w:p w:rsidR="00701B0D" w:rsidRPr="00410336" w:rsidRDefault="00701B0D" w:rsidP="00410336">
            <w:pPr>
              <w:spacing w:line="240" w:lineRule="auto"/>
              <w:ind w:left="244" w:hanging="244"/>
              <w:rPr>
                <w:rFonts w:ascii="Arial Narrow" w:hAnsi="Arial Narrow" w:cstheme="minorHAnsi"/>
                <w:color w:val="000000"/>
                <w:sz w:val="20"/>
                <w:szCs w:val="20"/>
              </w:rPr>
            </w:pPr>
            <w:r w:rsidRPr="00410336">
              <w:rPr>
                <w:rFonts w:ascii="Arial Narrow" w:hAnsi="Arial Narrow" w:cstheme="minorHAnsi"/>
                <w:b/>
                <w:bCs/>
                <w:color w:val="000000"/>
                <w:sz w:val="20"/>
                <w:szCs w:val="20"/>
              </w:rPr>
              <w:t>5</w:t>
            </w:r>
            <w:r w:rsidR="00C103AD" w:rsidRPr="00C103AD">
              <w:rPr>
                <w:rFonts w:ascii="Arial Narrow" w:hAnsi="Arial Narrow" w:cs="Calibri"/>
                <w:bCs/>
                <w:color w:val="000000"/>
                <w:sz w:val="20"/>
                <w:szCs w:val="20"/>
              </w:rPr>
              <w:t>—</w:t>
            </w:r>
            <w:r w:rsidRPr="00410336">
              <w:rPr>
                <w:rFonts w:ascii="Arial Narrow" w:hAnsi="Arial Narrow" w:cstheme="minorHAnsi"/>
                <w:i/>
                <w:iCs/>
                <w:color w:val="000000"/>
                <w:sz w:val="20"/>
                <w:szCs w:val="20"/>
              </w:rPr>
              <w:t>Oxidizing Substances</w:t>
            </w:r>
          </w:p>
        </w:tc>
        <w:tc>
          <w:tcPr>
            <w:tcW w:w="810" w:type="dxa"/>
            <w:vMerge w:val="restart"/>
            <w:tcBorders>
              <w:top w:val="nil"/>
              <w:left w:val="single" w:sz="4" w:space="0" w:color="auto"/>
              <w:bottom w:val="single" w:sz="4" w:space="0" w:color="000000"/>
              <w:right w:val="single" w:sz="4" w:space="0" w:color="auto"/>
            </w:tcBorders>
            <w:shd w:val="clear" w:color="auto" w:fill="auto"/>
            <w:vAlign w:val="center"/>
            <w:hideMark/>
          </w:tcPr>
          <w:p w:rsidR="00701B0D" w:rsidRPr="00410336" w:rsidRDefault="00425C5D" w:rsidP="00701B0D">
            <w:pPr>
              <w:spacing w:line="240" w:lineRule="auto"/>
              <w:jc w:val="center"/>
              <w:rPr>
                <w:rFonts w:ascii="Arial Narrow" w:hAnsi="Arial Narrow" w:cstheme="minorHAnsi"/>
                <w:color w:val="000000"/>
                <w:sz w:val="20"/>
                <w:szCs w:val="20"/>
              </w:rPr>
            </w:pPr>
            <w:r w:rsidRPr="00410336">
              <w:rPr>
                <w:rFonts w:ascii="Arial Narrow" w:hAnsi="Arial Narrow" w:cstheme="minorHAnsi"/>
                <w:color w:val="000000"/>
                <w:sz w:val="20"/>
                <w:szCs w:val="20"/>
              </w:rPr>
              <w:t>NA</w:t>
            </w:r>
          </w:p>
        </w:tc>
        <w:tc>
          <w:tcPr>
            <w:tcW w:w="1080" w:type="dxa"/>
            <w:tcBorders>
              <w:top w:val="nil"/>
              <w:left w:val="nil"/>
              <w:bottom w:val="single" w:sz="4" w:space="0" w:color="auto"/>
              <w:right w:val="single" w:sz="4" w:space="0" w:color="auto"/>
            </w:tcBorders>
            <w:shd w:val="clear" w:color="auto" w:fill="auto"/>
            <w:vAlign w:val="center"/>
            <w:hideMark/>
          </w:tcPr>
          <w:p w:rsidR="00701B0D" w:rsidRPr="00410336" w:rsidRDefault="00701B0D" w:rsidP="00701B0D">
            <w:pPr>
              <w:spacing w:line="240" w:lineRule="auto"/>
              <w:jc w:val="center"/>
              <w:rPr>
                <w:rFonts w:ascii="Arial Narrow" w:hAnsi="Arial Narrow" w:cstheme="minorHAnsi"/>
                <w:color w:val="000000"/>
                <w:sz w:val="20"/>
                <w:szCs w:val="20"/>
              </w:rPr>
            </w:pPr>
            <w:r w:rsidRPr="00410336">
              <w:rPr>
                <w:rFonts w:ascii="Arial Narrow" w:hAnsi="Arial Narrow" w:cstheme="minorHAnsi"/>
                <w:color w:val="000000"/>
                <w:sz w:val="20"/>
                <w:szCs w:val="20"/>
              </w:rPr>
              <w:t>5.1</w:t>
            </w:r>
          </w:p>
        </w:tc>
        <w:tc>
          <w:tcPr>
            <w:tcW w:w="1440" w:type="dxa"/>
            <w:tcBorders>
              <w:top w:val="nil"/>
              <w:left w:val="nil"/>
              <w:bottom w:val="single" w:sz="4" w:space="0" w:color="auto"/>
              <w:right w:val="single" w:sz="4" w:space="0" w:color="auto"/>
            </w:tcBorders>
            <w:shd w:val="clear" w:color="auto" w:fill="auto"/>
            <w:vAlign w:val="center"/>
            <w:hideMark/>
          </w:tcPr>
          <w:p w:rsidR="00701B0D" w:rsidRPr="00410336" w:rsidRDefault="00701B0D" w:rsidP="00701B0D">
            <w:pPr>
              <w:spacing w:line="240" w:lineRule="auto"/>
              <w:jc w:val="center"/>
              <w:rPr>
                <w:rFonts w:ascii="Arial Narrow" w:hAnsi="Arial Narrow" w:cstheme="minorHAnsi"/>
                <w:color w:val="000000"/>
                <w:sz w:val="20"/>
                <w:szCs w:val="20"/>
              </w:rPr>
            </w:pPr>
            <w:r w:rsidRPr="00410336">
              <w:rPr>
                <w:rFonts w:ascii="Arial Narrow" w:hAnsi="Arial Narrow" w:cstheme="minorHAnsi"/>
                <w:color w:val="000000"/>
                <w:sz w:val="20"/>
                <w:szCs w:val="20"/>
              </w:rPr>
              <w:t>II and III</w:t>
            </w:r>
          </w:p>
        </w:tc>
        <w:tc>
          <w:tcPr>
            <w:tcW w:w="4452" w:type="dxa"/>
            <w:tcBorders>
              <w:top w:val="nil"/>
              <w:left w:val="nil"/>
              <w:bottom w:val="single" w:sz="4" w:space="0" w:color="auto"/>
              <w:right w:val="single" w:sz="4" w:space="0" w:color="auto"/>
            </w:tcBorders>
            <w:shd w:val="clear" w:color="auto" w:fill="auto"/>
            <w:vAlign w:val="center"/>
            <w:hideMark/>
          </w:tcPr>
          <w:p w:rsidR="00701B0D" w:rsidRPr="00410336" w:rsidRDefault="00425C5D" w:rsidP="00410336">
            <w:pPr>
              <w:spacing w:line="240" w:lineRule="auto"/>
              <w:rPr>
                <w:rFonts w:ascii="Arial Narrow" w:hAnsi="Arial Narrow" w:cstheme="minorHAnsi"/>
                <w:color w:val="000000"/>
                <w:sz w:val="20"/>
                <w:szCs w:val="20"/>
              </w:rPr>
            </w:pPr>
            <w:r w:rsidRPr="00410336">
              <w:rPr>
                <w:rFonts w:ascii="Arial Narrow" w:hAnsi="Arial Narrow" w:cstheme="minorHAnsi"/>
                <w:color w:val="000000"/>
                <w:sz w:val="20"/>
                <w:szCs w:val="20"/>
              </w:rPr>
              <w:t>NA</w:t>
            </w:r>
          </w:p>
        </w:tc>
      </w:tr>
      <w:tr w:rsidR="00701B0D" w:rsidRPr="00391C55" w:rsidTr="00410336">
        <w:trPr>
          <w:trHeight w:val="432"/>
        </w:trPr>
        <w:tc>
          <w:tcPr>
            <w:tcW w:w="1882" w:type="dxa"/>
            <w:vMerge/>
            <w:tcBorders>
              <w:top w:val="nil"/>
              <w:left w:val="single" w:sz="4" w:space="0" w:color="auto"/>
              <w:bottom w:val="single" w:sz="4" w:space="0" w:color="000000"/>
              <w:right w:val="single" w:sz="4" w:space="0" w:color="auto"/>
            </w:tcBorders>
            <w:vAlign w:val="center"/>
            <w:hideMark/>
          </w:tcPr>
          <w:p w:rsidR="00701B0D" w:rsidRPr="00410336" w:rsidRDefault="00701B0D">
            <w:pPr>
              <w:spacing w:line="240" w:lineRule="auto"/>
              <w:rPr>
                <w:rFonts w:ascii="Arial Narrow" w:hAnsi="Arial Narrow" w:cstheme="minorHAnsi"/>
                <w:color w:val="000000"/>
                <w:sz w:val="20"/>
                <w:szCs w:val="20"/>
              </w:rPr>
            </w:pPr>
          </w:p>
        </w:tc>
        <w:tc>
          <w:tcPr>
            <w:tcW w:w="810" w:type="dxa"/>
            <w:vMerge/>
            <w:tcBorders>
              <w:top w:val="nil"/>
              <w:left w:val="single" w:sz="4" w:space="0" w:color="auto"/>
              <w:bottom w:val="single" w:sz="4" w:space="0" w:color="000000"/>
              <w:right w:val="single" w:sz="4" w:space="0" w:color="auto"/>
            </w:tcBorders>
            <w:vAlign w:val="center"/>
            <w:hideMark/>
          </w:tcPr>
          <w:p w:rsidR="00701B0D" w:rsidRPr="00410336" w:rsidRDefault="00701B0D" w:rsidP="00701B0D">
            <w:pPr>
              <w:spacing w:line="240" w:lineRule="auto"/>
              <w:rPr>
                <w:rFonts w:ascii="Arial Narrow" w:hAnsi="Arial Narrow" w:cstheme="minorHAnsi"/>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701B0D" w:rsidRPr="00410336" w:rsidRDefault="00701B0D" w:rsidP="00701B0D">
            <w:pPr>
              <w:spacing w:line="240" w:lineRule="auto"/>
              <w:jc w:val="center"/>
              <w:rPr>
                <w:rFonts w:ascii="Arial Narrow" w:hAnsi="Arial Narrow" w:cstheme="minorHAnsi"/>
                <w:color w:val="000000"/>
                <w:sz w:val="20"/>
                <w:szCs w:val="20"/>
              </w:rPr>
            </w:pPr>
            <w:r w:rsidRPr="00410336">
              <w:rPr>
                <w:rFonts w:ascii="Arial Narrow" w:hAnsi="Arial Narrow" w:cstheme="minorHAnsi"/>
                <w:color w:val="000000"/>
                <w:sz w:val="20"/>
                <w:szCs w:val="20"/>
              </w:rPr>
              <w:t>5.2</w:t>
            </w:r>
          </w:p>
        </w:tc>
        <w:tc>
          <w:tcPr>
            <w:tcW w:w="1440" w:type="dxa"/>
            <w:tcBorders>
              <w:top w:val="nil"/>
              <w:left w:val="nil"/>
              <w:bottom w:val="single" w:sz="4" w:space="0" w:color="auto"/>
              <w:right w:val="single" w:sz="4" w:space="0" w:color="auto"/>
            </w:tcBorders>
            <w:shd w:val="clear" w:color="auto" w:fill="auto"/>
            <w:vAlign w:val="center"/>
            <w:hideMark/>
          </w:tcPr>
          <w:p w:rsidR="00701B0D" w:rsidRPr="00410336" w:rsidRDefault="00425C5D" w:rsidP="00701B0D">
            <w:pPr>
              <w:spacing w:line="240" w:lineRule="auto"/>
              <w:jc w:val="center"/>
              <w:rPr>
                <w:rFonts w:ascii="Arial Narrow" w:hAnsi="Arial Narrow" w:cstheme="minorHAnsi"/>
                <w:color w:val="000000"/>
                <w:sz w:val="20"/>
                <w:szCs w:val="20"/>
              </w:rPr>
            </w:pPr>
            <w:r w:rsidRPr="00410336">
              <w:rPr>
                <w:rFonts w:ascii="Arial Narrow" w:hAnsi="Arial Narrow" w:cstheme="minorHAnsi"/>
                <w:color w:val="000000"/>
                <w:sz w:val="20"/>
                <w:szCs w:val="20"/>
              </w:rPr>
              <w:t>NA</w:t>
            </w:r>
          </w:p>
        </w:tc>
        <w:tc>
          <w:tcPr>
            <w:tcW w:w="4452" w:type="dxa"/>
            <w:tcBorders>
              <w:top w:val="nil"/>
              <w:left w:val="nil"/>
              <w:bottom w:val="single" w:sz="4" w:space="0" w:color="auto"/>
              <w:right w:val="single" w:sz="4" w:space="0" w:color="auto"/>
            </w:tcBorders>
            <w:shd w:val="clear" w:color="auto" w:fill="auto"/>
            <w:vAlign w:val="center"/>
            <w:hideMark/>
          </w:tcPr>
          <w:p w:rsidR="00701B0D" w:rsidRPr="00410336" w:rsidRDefault="00701B0D" w:rsidP="00410336">
            <w:pPr>
              <w:spacing w:line="240" w:lineRule="auto"/>
              <w:rPr>
                <w:rFonts w:ascii="Arial Narrow" w:hAnsi="Arial Narrow" w:cstheme="minorHAnsi"/>
                <w:color w:val="000000"/>
                <w:sz w:val="20"/>
                <w:szCs w:val="20"/>
              </w:rPr>
            </w:pPr>
            <w:r w:rsidRPr="00410336">
              <w:rPr>
                <w:rFonts w:ascii="Arial Narrow" w:hAnsi="Arial Narrow" w:cstheme="minorHAnsi"/>
                <w:color w:val="000000"/>
                <w:sz w:val="20"/>
                <w:szCs w:val="20"/>
              </w:rPr>
              <w:t xml:space="preserve">Organic </w:t>
            </w:r>
            <w:r w:rsidR="00425C5D">
              <w:rPr>
                <w:rFonts w:ascii="Arial Narrow" w:hAnsi="Arial Narrow" w:cstheme="minorHAnsi"/>
                <w:color w:val="000000"/>
                <w:sz w:val="20"/>
                <w:szCs w:val="20"/>
              </w:rPr>
              <w:t>p</w:t>
            </w:r>
            <w:r w:rsidRPr="00410336">
              <w:rPr>
                <w:rFonts w:ascii="Arial Narrow" w:hAnsi="Arial Narrow" w:cstheme="minorHAnsi"/>
                <w:color w:val="000000"/>
                <w:sz w:val="20"/>
                <w:szCs w:val="20"/>
              </w:rPr>
              <w:t>eroxides only when contained in a chemical kit or first aid kit</w:t>
            </w:r>
          </w:p>
        </w:tc>
      </w:tr>
      <w:tr w:rsidR="00701B0D" w:rsidRPr="00391C55" w:rsidTr="00410336">
        <w:trPr>
          <w:trHeight w:val="432"/>
        </w:trPr>
        <w:tc>
          <w:tcPr>
            <w:tcW w:w="1882" w:type="dxa"/>
            <w:tcBorders>
              <w:top w:val="nil"/>
              <w:left w:val="single" w:sz="4" w:space="0" w:color="auto"/>
              <w:bottom w:val="single" w:sz="4" w:space="0" w:color="auto"/>
              <w:right w:val="single" w:sz="4" w:space="0" w:color="auto"/>
            </w:tcBorders>
            <w:shd w:val="clear" w:color="auto" w:fill="auto"/>
            <w:vAlign w:val="center"/>
            <w:hideMark/>
          </w:tcPr>
          <w:p w:rsidR="00701B0D" w:rsidRPr="00410336" w:rsidRDefault="00C103AD" w:rsidP="00410336">
            <w:pPr>
              <w:spacing w:line="240" w:lineRule="auto"/>
              <w:rPr>
                <w:rFonts w:ascii="Arial Narrow" w:hAnsi="Arial Narrow" w:cstheme="minorHAnsi"/>
                <w:b/>
                <w:bCs/>
                <w:color w:val="000000"/>
                <w:sz w:val="20"/>
                <w:szCs w:val="20"/>
              </w:rPr>
            </w:pPr>
            <w:r w:rsidRPr="00410336">
              <w:rPr>
                <w:rFonts w:ascii="Arial Narrow" w:hAnsi="Arial Narrow" w:cstheme="minorHAnsi"/>
                <w:b/>
                <w:bCs/>
                <w:color w:val="000000"/>
                <w:sz w:val="20"/>
                <w:szCs w:val="20"/>
              </w:rPr>
              <w:t>6</w:t>
            </w:r>
            <w:r w:rsidRPr="00C103AD">
              <w:rPr>
                <w:rFonts w:ascii="Arial Narrow" w:hAnsi="Arial Narrow" w:cs="Calibri"/>
                <w:bCs/>
                <w:color w:val="000000"/>
                <w:sz w:val="20"/>
                <w:szCs w:val="20"/>
              </w:rPr>
              <w:t>—</w:t>
            </w:r>
            <w:r w:rsidR="00701B0D" w:rsidRPr="00410336">
              <w:rPr>
                <w:rFonts w:ascii="Arial Narrow" w:hAnsi="Arial Narrow" w:cstheme="minorHAnsi"/>
                <w:i/>
                <w:iCs/>
                <w:color w:val="000000"/>
                <w:sz w:val="20"/>
                <w:szCs w:val="20"/>
              </w:rPr>
              <w:t>Toxic Substances</w:t>
            </w:r>
          </w:p>
        </w:tc>
        <w:tc>
          <w:tcPr>
            <w:tcW w:w="810" w:type="dxa"/>
            <w:tcBorders>
              <w:top w:val="nil"/>
              <w:left w:val="nil"/>
              <w:bottom w:val="single" w:sz="4" w:space="0" w:color="auto"/>
              <w:right w:val="single" w:sz="4" w:space="0" w:color="auto"/>
            </w:tcBorders>
            <w:shd w:val="clear" w:color="auto" w:fill="auto"/>
            <w:vAlign w:val="center"/>
            <w:hideMark/>
          </w:tcPr>
          <w:p w:rsidR="00701B0D" w:rsidRPr="00410336" w:rsidRDefault="00425C5D" w:rsidP="00701B0D">
            <w:pPr>
              <w:spacing w:line="240" w:lineRule="auto"/>
              <w:jc w:val="center"/>
              <w:rPr>
                <w:rFonts w:ascii="Arial Narrow" w:hAnsi="Arial Narrow" w:cstheme="minorHAnsi"/>
                <w:color w:val="000000"/>
                <w:sz w:val="20"/>
                <w:szCs w:val="20"/>
              </w:rPr>
            </w:pPr>
            <w:r w:rsidRPr="00410336">
              <w:rPr>
                <w:rFonts w:ascii="Arial Narrow" w:hAnsi="Arial Narrow" w:cstheme="minorHAnsi"/>
                <w:color w:val="000000"/>
                <w:sz w:val="20"/>
                <w:szCs w:val="20"/>
              </w:rPr>
              <w:t>NA</w:t>
            </w:r>
          </w:p>
        </w:tc>
        <w:tc>
          <w:tcPr>
            <w:tcW w:w="1080" w:type="dxa"/>
            <w:tcBorders>
              <w:top w:val="nil"/>
              <w:left w:val="nil"/>
              <w:bottom w:val="single" w:sz="4" w:space="0" w:color="auto"/>
              <w:right w:val="single" w:sz="4" w:space="0" w:color="auto"/>
            </w:tcBorders>
            <w:shd w:val="clear" w:color="auto" w:fill="auto"/>
            <w:vAlign w:val="center"/>
            <w:hideMark/>
          </w:tcPr>
          <w:p w:rsidR="00701B0D" w:rsidRPr="00410336" w:rsidRDefault="00701B0D" w:rsidP="00701B0D">
            <w:pPr>
              <w:spacing w:line="240" w:lineRule="auto"/>
              <w:jc w:val="center"/>
              <w:rPr>
                <w:rFonts w:ascii="Arial Narrow" w:hAnsi="Arial Narrow" w:cstheme="minorHAnsi"/>
                <w:color w:val="000000"/>
                <w:sz w:val="20"/>
                <w:szCs w:val="20"/>
              </w:rPr>
            </w:pPr>
            <w:r w:rsidRPr="00410336">
              <w:rPr>
                <w:rFonts w:ascii="Arial Narrow" w:hAnsi="Arial Narrow" w:cstheme="minorHAnsi"/>
                <w:color w:val="000000"/>
                <w:sz w:val="20"/>
                <w:szCs w:val="20"/>
              </w:rPr>
              <w:t>6.1</w:t>
            </w:r>
          </w:p>
        </w:tc>
        <w:tc>
          <w:tcPr>
            <w:tcW w:w="1440" w:type="dxa"/>
            <w:tcBorders>
              <w:top w:val="nil"/>
              <w:left w:val="nil"/>
              <w:bottom w:val="single" w:sz="4" w:space="0" w:color="auto"/>
              <w:right w:val="single" w:sz="4" w:space="0" w:color="auto"/>
            </w:tcBorders>
            <w:shd w:val="clear" w:color="auto" w:fill="auto"/>
            <w:vAlign w:val="center"/>
            <w:hideMark/>
          </w:tcPr>
          <w:p w:rsidR="00701B0D" w:rsidRPr="00410336" w:rsidRDefault="00701B0D" w:rsidP="00701B0D">
            <w:pPr>
              <w:spacing w:line="240" w:lineRule="auto"/>
              <w:jc w:val="center"/>
              <w:rPr>
                <w:rFonts w:ascii="Arial Narrow" w:hAnsi="Arial Narrow" w:cstheme="minorHAnsi"/>
                <w:color w:val="000000"/>
                <w:sz w:val="20"/>
                <w:szCs w:val="20"/>
              </w:rPr>
            </w:pPr>
            <w:r w:rsidRPr="00410336">
              <w:rPr>
                <w:rFonts w:ascii="Arial Narrow" w:hAnsi="Arial Narrow" w:cstheme="minorHAnsi"/>
                <w:color w:val="000000"/>
                <w:sz w:val="20"/>
                <w:szCs w:val="20"/>
              </w:rPr>
              <w:t>II and III</w:t>
            </w:r>
          </w:p>
        </w:tc>
        <w:tc>
          <w:tcPr>
            <w:tcW w:w="4452" w:type="dxa"/>
            <w:tcBorders>
              <w:top w:val="nil"/>
              <w:left w:val="nil"/>
              <w:bottom w:val="single" w:sz="4" w:space="0" w:color="auto"/>
              <w:right w:val="single" w:sz="4" w:space="0" w:color="auto"/>
            </w:tcBorders>
            <w:shd w:val="clear" w:color="auto" w:fill="auto"/>
            <w:vAlign w:val="center"/>
            <w:hideMark/>
          </w:tcPr>
          <w:p w:rsidR="00701B0D" w:rsidRPr="00410336" w:rsidRDefault="00425C5D" w:rsidP="00410336">
            <w:pPr>
              <w:spacing w:line="240" w:lineRule="auto"/>
              <w:rPr>
                <w:rFonts w:ascii="Arial Narrow" w:hAnsi="Arial Narrow" w:cstheme="minorHAnsi"/>
                <w:color w:val="000000"/>
                <w:sz w:val="20"/>
                <w:szCs w:val="20"/>
              </w:rPr>
            </w:pPr>
            <w:r w:rsidRPr="00410336">
              <w:rPr>
                <w:rFonts w:ascii="Arial Narrow" w:hAnsi="Arial Narrow" w:cstheme="minorHAnsi"/>
                <w:color w:val="000000"/>
                <w:sz w:val="20"/>
                <w:szCs w:val="20"/>
              </w:rPr>
              <w:t>NA</w:t>
            </w:r>
          </w:p>
        </w:tc>
      </w:tr>
      <w:tr w:rsidR="00701B0D" w:rsidRPr="00391C55" w:rsidTr="00410336">
        <w:trPr>
          <w:trHeight w:val="576"/>
        </w:trPr>
        <w:tc>
          <w:tcPr>
            <w:tcW w:w="1882" w:type="dxa"/>
            <w:tcBorders>
              <w:top w:val="nil"/>
              <w:left w:val="single" w:sz="4" w:space="0" w:color="auto"/>
              <w:bottom w:val="single" w:sz="4" w:space="0" w:color="auto"/>
              <w:right w:val="single" w:sz="4" w:space="0" w:color="auto"/>
            </w:tcBorders>
            <w:shd w:val="clear" w:color="auto" w:fill="auto"/>
            <w:vAlign w:val="center"/>
            <w:hideMark/>
          </w:tcPr>
          <w:p w:rsidR="00701B0D" w:rsidRPr="00410336" w:rsidRDefault="00701B0D" w:rsidP="00410336">
            <w:pPr>
              <w:spacing w:line="240" w:lineRule="auto"/>
              <w:rPr>
                <w:rFonts w:ascii="Arial Narrow" w:hAnsi="Arial Narrow" w:cstheme="minorHAnsi"/>
                <w:b/>
                <w:bCs/>
                <w:color w:val="000000"/>
                <w:sz w:val="20"/>
                <w:szCs w:val="20"/>
              </w:rPr>
            </w:pPr>
            <w:r w:rsidRPr="00410336">
              <w:rPr>
                <w:rFonts w:ascii="Arial Narrow" w:hAnsi="Arial Narrow" w:cstheme="minorHAnsi"/>
                <w:b/>
                <w:bCs/>
                <w:color w:val="000000"/>
                <w:sz w:val="20"/>
                <w:szCs w:val="20"/>
              </w:rPr>
              <w:t>8</w:t>
            </w:r>
            <w:r w:rsidR="00C103AD" w:rsidRPr="00C103AD">
              <w:rPr>
                <w:rFonts w:ascii="Arial Narrow" w:hAnsi="Arial Narrow" w:cs="Calibri"/>
                <w:bCs/>
                <w:color w:val="000000"/>
                <w:sz w:val="20"/>
                <w:szCs w:val="20"/>
              </w:rPr>
              <w:t>—</w:t>
            </w:r>
            <w:r w:rsidRPr="00410336">
              <w:rPr>
                <w:rFonts w:ascii="Arial Narrow" w:hAnsi="Arial Narrow" w:cstheme="minorHAnsi"/>
                <w:i/>
                <w:iCs/>
                <w:color w:val="000000"/>
                <w:sz w:val="20"/>
                <w:szCs w:val="20"/>
              </w:rPr>
              <w:t>Corrosives</w:t>
            </w:r>
          </w:p>
        </w:tc>
        <w:tc>
          <w:tcPr>
            <w:tcW w:w="810" w:type="dxa"/>
            <w:tcBorders>
              <w:top w:val="nil"/>
              <w:left w:val="nil"/>
              <w:bottom w:val="single" w:sz="4" w:space="0" w:color="auto"/>
              <w:right w:val="single" w:sz="4" w:space="0" w:color="auto"/>
            </w:tcBorders>
            <w:shd w:val="clear" w:color="auto" w:fill="auto"/>
            <w:vAlign w:val="center"/>
            <w:hideMark/>
          </w:tcPr>
          <w:p w:rsidR="00701B0D" w:rsidRPr="00410336" w:rsidRDefault="00425C5D" w:rsidP="00701B0D">
            <w:pPr>
              <w:spacing w:line="240" w:lineRule="auto"/>
              <w:jc w:val="center"/>
              <w:rPr>
                <w:rFonts w:ascii="Arial Narrow" w:hAnsi="Arial Narrow" w:cstheme="minorHAnsi"/>
                <w:color w:val="000000"/>
                <w:sz w:val="20"/>
                <w:szCs w:val="20"/>
              </w:rPr>
            </w:pPr>
            <w:r w:rsidRPr="00410336">
              <w:rPr>
                <w:rFonts w:ascii="Arial Narrow" w:hAnsi="Arial Narrow" w:cstheme="minorHAnsi"/>
                <w:color w:val="000000"/>
                <w:sz w:val="20"/>
                <w:szCs w:val="20"/>
              </w:rPr>
              <w:t>NA</w:t>
            </w:r>
          </w:p>
        </w:tc>
        <w:tc>
          <w:tcPr>
            <w:tcW w:w="1080" w:type="dxa"/>
            <w:tcBorders>
              <w:top w:val="nil"/>
              <w:left w:val="nil"/>
              <w:bottom w:val="single" w:sz="4" w:space="0" w:color="auto"/>
              <w:right w:val="single" w:sz="4" w:space="0" w:color="auto"/>
            </w:tcBorders>
            <w:shd w:val="clear" w:color="auto" w:fill="auto"/>
            <w:vAlign w:val="center"/>
            <w:hideMark/>
          </w:tcPr>
          <w:p w:rsidR="00701B0D" w:rsidRPr="00410336" w:rsidRDefault="00425C5D" w:rsidP="00701B0D">
            <w:pPr>
              <w:spacing w:line="240" w:lineRule="auto"/>
              <w:jc w:val="center"/>
              <w:rPr>
                <w:rFonts w:ascii="Arial Narrow" w:hAnsi="Arial Narrow" w:cstheme="minorHAnsi"/>
                <w:color w:val="000000"/>
                <w:sz w:val="20"/>
                <w:szCs w:val="20"/>
              </w:rPr>
            </w:pPr>
            <w:r w:rsidRPr="00410336">
              <w:rPr>
                <w:rFonts w:ascii="Arial Narrow" w:hAnsi="Arial Narrow" w:cstheme="minorHAnsi"/>
                <w:color w:val="000000"/>
                <w:sz w:val="20"/>
                <w:szCs w:val="20"/>
              </w:rPr>
              <w:t>NA</w:t>
            </w:r>
          </w:p>
        </w:tc>
        <w:tc>
          <w:tcPr>
            <w:tcW w:w="1440" w:type="dxa"/>
            <w:tcBorders>
              <w:top w:val="nil"/>
              <w:left w:val="nil"/>
              <w:bottom w:val="single" w:sz="4" w:space="0" w:color="auto"/>
              <w:right w:val="single" w:sz="4" w:space="0" w:color="auto"/>
            </w:tcBorders>
            <w:shd w:val="clear" w:color="auto" w:fill="auto"/>
            <w:vAlign w:val="center"/>
            <w:hideMark/>
          </w:tcPr>
          <w:p w:rsidR="00701B0D" w:rsidRPr="00410336" w:rsidRDefault="00701B0D" w:rsidP="00701B0D">
            <w:pPr>
              <w:spacing w:line="240" w:lineRule="auto"/>
              <w:jc w:val="center"/>
              <w:rPr>
                <w:rFonts w:ascii="Arial Narrow" w:hAnsi="Arial Narrow" w:cstheme="minorHAnsi"/>
                <w:color w:val="000000"/>
                <w:sz w:val="20"/>
                <w:szCs w:val="20"/>
              </w:rPr>
            </w:pPr>
            <w:r w:rsidRPr="00410336">
              <w:rPr>
                <w:rFonts w:ascii="Arial Narrow" w:hAnsi="Arial Narrow" w:cstheme="minorHAnsi"/>
                <w:color w:val="000000"/>
                <w:sz w:val="20"/>
                <w:szCs w:val="20"/>
              </w:rPr>
              <w:t>II and III</w:t>
            </w:r>
          </w:p>
        </w:tc>
        <w:tc>
          <w:tcPr>
            <w:tcW w:w="4452" w:type="dxa"/>
            <w:tcBorders>
              <w:top w:val="nil"/>
              <w:left w:val="nil"/>
              <w:bottom w:val="single" w:sz="4" w:space="0" w:color="auto"/>
              <w:right w:val="single" w:sz="4" w:space="0" w:color="auto"/>
            </w:tcBorders>
            <w:shd w:val="clear" w:color="auto" w:fill="auto"/>
            <w:vAlign w:val="center"/>
            <w:hideMark/>
          </w:tcPr>
          <w:p w:rsidR="00701B0D" w:rsidRPr="00410336" w:rsidRDefault="00701B0D" w:rsidP="00410336">
            <w:pPr>
              <w:spacing w:line="240" w:lineRule="auto"/>
              <w:rPr>
                <w:rFonts w:ascii="Arial Narrow" w:hAnsi="Arial Narrow" w:cstheme="minorHAnsi"/>
                <w:color w:val="000000"/>
                <w:sz w:val="20"/>
                <w:szCs w:val="20"/>
              </w:rPr>
            </w:pPr>
            <w:r w:rsidRPr="00410336">
              <w:rPr>
                <w:rFonts w:ascii="Arial Narrow" w:hAnsi="Arial Narrow" w:cstheme="minorHAnsi"/>
                <w:color w:val="000000"/>
                <w:sz w:val="20"/>
                <w:szCs w:val="20"/>
              </w:rPr>
              <w:t>Not including UN 2794, UN 2795, UN 2803, UN 2809 and UN 3028</w:t>
            </w:r>
          </w:p>
        </w:tc>
      </w:tr>
      <w:tr w:rsidR="00C103AD" w:rsidRPr="00391C55" w:rsidTr="00410336">
        <w:trPr>
          <w:trHeight w:val="2016"/>
        </w:trPr>
        <w:tc>
          <w:tcPr>
            <w:tcW w:w="1882" w:type="dxa"/>
            <w:tcBorders>
              <w:top w:val="nil"/>
              <w:left w:val="single" w:sz="4" w:space="0" w:color="auto"/>
              <w:bottom w:val="single" w:sz="4" w:space="0" w:color="auto"/>
              <w:right w:val="single" w:sz="4" w:space="0" w:color="auto"/>
            </w:tcBorders>
            <w:shd w:val="clear" w:color="auto" w:fill="auto"/>
            <w:vAlign w:val="center"/>
            <w:hideMark/>
          </w:tcPr>
          <w:p w:rsidR="00701B0D" w:rsidRPr="00410336" w:rsidRDefault="00701B0D" w:rsidP="00410336">
            <w:pPr>
              <w:spacing w:line="240" w:lineRule="auto"/>
              <w:ind w:left="244" w:hanging="244"/>
              <w:rPr>
                <w:rFonts w:ascii="Arial Narrow" w:hAnsi="Arial Narrow" w:cstheme="minorHAnsi"/>
                <w:b/>
                <w:bCs/>
                <w:color w:val="000000"/>
                <w:sz w:val="20"/>
                <w:szCs w:val="20"/>
              </w:rPr>
            </w:pPr>
            <w:r w:rsidRPr="00410336">
              <w:rPr>
                <w:rFonts w:ascii="Arial Narrow" w:hAnsi="Arial Narrow" w:cstheme="minorHAnsi"/>
                <w:b/>
                <w:bCs/>
                <w:color w:val="000000"/>
                <w:sz w:val="20"/>
                <w:szCs w:val="20"/>
              </w:rPr>
              <w:t>9</w:t>
            </w:r>
            <w:r w:rsidR="00C103AD" w:rsidRPr="00C103AD">
              <w:rPr>
                <w:rFonts w:ascii="Arial Narrow" w:hAnsi="Arial Narrow" w:cs="Calibri"/>
                <w:bCs/>
                <w:color w:val="000000"/>
                <w:sz w:val="20"/>
                <w:szCs w:val="20"/>
              </w:rPr>
              <w:t>—</w:t>
            </w:r>
            <w:r w:rsidRPr="00410336">
              <w:rPr>
                <w:rFonts w:ascii="Arial Narrow" w:hAnsi="Arial Narrow" w:cstheme="minorHAnsi"/>
                <w:i/>
                <w:iCs/>
                <w:color w:val="000000"/>
                <w:sz w:val="20"/>
                <w:szCs w:val="20"/>
              </w:rPr>
              <w:t>Miscellaneous Dangerous Goods</w:t>
            </w:r>
          </w:p>
        </w:tc>
        <w:tc>
          <w:tcPr>
            <w:tcW w:w="810" w:type="dxa"/>
            <w:tcBorders>
              <w:top w:val="nil"/>
              <w:left w:val="nil"/>
              <w:bottom w:val="single" w:sz="4" w:space="0" w:color="auto"/>
              <w:right w:val="single" w:sz="4" w:space="0" w:color="auto"/>
            </w:tcBorders>
            <w:shd w:val="clear" w:color="auto" w:fill="auto"/>
            <w:vAlign w:val="center"/>
            <w:hideMark/>
          </w:tcPr>
          <w:p w:rsidR="00701B0D" w:rsidRPr="00410336" w:rsidRDefault="00425C5D" w:rsidP="00701B0D">
            <w:pPr>
              <w:spacing w:line="240" w:lineRule="auto"/>
              <w:jc w:val="center"/>
              <w:rPr>
                <w:rFonts w:ascii="Arial Narrow" w:hAnsi="Arial Narrow" w:cstheme="minorHAnsi"/>
                <w:color w:val="000000"/>
                <w:sz w:val="20"/>
                <w:szCs w:val="20"/>
              </w:rPr>
            </w:pPr>
            <w:r w:rsidRPr="00410336">
              <w:rPr>
                <w:rFonts w:ascii="Arial Narrow" w:hAnsi="Arial Narrow" w:cstheme="minorHAnsi"/>
                <w:color w:val="000000"/>
                <w:sz w:val="20"/>
                <w:szCs w:val="20"/>
              </w:rPr>
              <w:t>NA</w:t>
            </w:r>
          </w:p>
        </w:tc>
        <w:tc>
          <w:tcPr>
            <w:tcW w:w="1080" w:type="dxa"/>
            <w:tcBorders>
              <w:top w:val="nil"/>
              <w:left w:val="nil"/>
              <w:bottom w:val="single" w:sz="4" w:space="0" w:color="auto"/>
              <w:right w:val="single" w:sz="4" w:space="0" w:color="auto"/>
            </w:tcBorders>
            <w:shd w:val="clear" w:color="auto" w:fill="auto"/>
            <w:vAlign w:val="center"/>
            <w:hideMark/>
          </w:tcPr>
          <w:p w:rsidR="00701B0D" w:rsidRPr="00410336" w:rsidRDefault="00425C5D" w:rsidP="00701B0D">
            <w:pPr>
              <w:spacing w:line="240" w:lineRule="auto"/>
              <w:jc w:val="center"/>
              <w:rPr>
                <w:rFonts w:ascii="Arial Narrow" w:hAnsi="Arial Narrow" w:cstheme="minorHAnsi"/>
                <w:color w:val="000000"/>
                <w:sz w:val="20"/>
                <w:szCs w:val="20"/>
              </w:rPr>
            </w:pPr>
            <w:r w:rsidRPr="00410336">
              <w:rPr>
                <w:rFonts w:ascii="Arial Narrow" w:hAnsi="Arial Narrow" w:cstheme="minorHAnsi"/>
                <w:color w:val="000000"/>
                <w:sz w:val="20"/>
                <w:szCs w:val="20"/>
              </w:rPr>
              <w:t>NA</w:t>
            </w:r>
          </w:p>
        </w:tc>
        <w:tc>
          <w:tcPr>
            <w:tcW w:w="1440" w:type="dxa"/>
            <w:tcBorders>
              <w:top w:val="nil"/>
              <w:left w:val="nil"/>
              <w:bottom w:val="single" w:sz="4" w:space="0" w:color="auto"/>
              <w:right w:val="single" w:sz="4" w:space="0" w:color="auto"/>
            </w:tcBorders>
            <w:shd w:val="clear" w:color="auto" w:fill="auto"/>
            <w:vAlign w:val="center"/>
            <w:hideMark/>
          </w:tcPr>
          <w:p w:rsidR="00701B0D" w:rsidRPr="00410336" w:rsidRDefault="00425C5D" w:rsidP="00701B0D">
            <w:pPr>
              <w:spacing w:line="240" w:lineRule="auto"/>
              <w:jc w:val="center"/>
              <w:rPr>
                <w:rFonts w:ascii="Arial Narrow" w:hAnsi="Arial Narrow" w:cstheme="minorHAnsi"/>
                <w:color w:val="000000"/>
                <w:sz w:val="20"/>
                <w:szCs w:val="20"/>
              </w:rPr>
            </w:pPr>
            <w:r w:rsidRPr="00410336">
              <w:rPr>
                <w:rFonts w:ascii="Arial Narrow" w:hAnsi="Arial Narrow" w:cstheme="minorHAnsi"/>
                <w:color w:val="000000"/>
                <w:sz w:val="20"/>
                <w:szCs w:val="20"/>
              </w:rPr>
              <w:t>NA</w:t>
            </w:r>
          </w:p>
        </w:tc>
        <w:tc>
          <w:tcPr>
            <w:tcW w:w="4452" w:type="dxa"/>
            <w:tcBorders>
              <w:top w:val="nil"/>
              <w:left w:val="nil"/>
              <w:bottom w:val="single" w:sz="4" w:space="0" w:color="auto"/>
              <w:right w:val="single" w:sz="4" w:space="0" w:color="auto"/>
            </w:tcBorders>
            <w:shd w:val="clear" w:color="auto" w:fill="auto"/>
            <w:vAlign w:val="center"/>
            <w:hideMark/>
          </w:tcPr>
          <w:p w:rsidR="00701B0D" w:rsidRPr="00410336" w:rsidRDefault="00701B0D" w:rsidP="00410336">
            <w:pPr>
              <w:spacing w:line="240" w:lineRule="auto"/>
              <w:rPr>
                <w:rFonts w:ascii="Arial Narrow" w:hAnsi="Arial Narrow" w:cstheme="minorHAnsi"/>
                <w:color w:val="000000"/>
                <w:sz w:val="20"/>
                <w:szCs w:val="20"/>
              </w:rPr>
            </w:pPr>
            <w:r w:rsidRPr="00410336">
              <w:rPr>
                <w:rFonts w:ascii="Arial Narrow" w:hAnsi="Arial Narrow" w:cstheme="minorHAnsi"/>
                <w:color w:val="000000"/>
                <w:sz w:val="20"/>
                <w:szCs w:val="20"/>
              </w:rPr>
              <w:t xml:space="preserve">Only the following class 9 substances: </w:t>
            </w:r>
            <w:proofErr w:type="spellStart"/>
            <w:r w:rsidRPr="00410336">
              <w:rPr>
                <w:rFonts w:ascii="Arial Narrow" w:hAnsi="Arial Narrow" w:cstheme="minorHAnsi"/>
                <w:color w:val="000000"/>
                <w:sz w:val="20"/>
                <w:szCs w:val="20"/>
              </w:rPr>
              <w:t>Dibromodifluoromethane</w:t>
            </w:r>
            <w:proofErr w:type="spellEnd"/>
            <w:r w:rsidRPr="00410336">
              <w:rPr>
                <w:rFonts w:ascii="Arial Narrow" w:hAnsi="Arial Narrow" w:cstheme="minorHAnsi"/>
                <w:color w:val="000000"/>
                <w:sz w:val="20"/>
                <w:szCs w:val="20"/>
              </w:rPr>
              <w:t xml:space="preserve"> (UN1914), Benzaldehyde (UN 1990), Ammonium nitrate fertilizers (UN 2071), Environmentally hazardous substance, solid, </w:t>
            </w:r>
            <w:proofErr w:type="spellStart"/>
            <w:r w:rsidRPr="00410336">
              <w:rPr>
                <w:rFonts w:ascii="Arial Narrow" w:hAnsi="Arial Narrow" w:cstheme="minorHAnsi"/>
                <w:color w:val="000000"/>
                <w:sz w:val="20"/>
                <w:szCs w:val="20"/>
              </w:rPr>
              <w:t>n.o.s</w:t>
            </w:r>
            <w:proofErr w:type="spellEnd"/>
            <w:r w:rsidRPr="00410336">
              <w:rPr>
                <w:rFonts w:ascii="Arial Narrow" w:hAnsi="Arial Narrow" w:cstheme="minorHAnsi"/>
                <w:color w:val="000000"/>
                <w:sz w:val="20"/>
                <w:szCs w:val="20"/>
              </w:rPr>
              <w:t xml:space="preserve">. (UN 3077), Environmentally hazardous substance, liquid, </w:t>
            </w:r>
            <w:proofErr w:type="spellStart"/>
            <w:r w:rsidRPr="00410336">
              <w:rPr>
                <w:rFonts w:ascii="Arial Narrow" w:hAnsi="Arial Narrow" w:cstheme="minorHAnsi"/>
                <w:color w:val="000000"/>
                <w:sz w:val="20"/>
                <w:szCs w:val="20"/>
              </w:rPr>
              <w:t>n.o.s</w:t>
            </w:r>
            <w:proofErr w:type="spellEnd"/>
            <w:r w:rsidRPr="00410336">
              <w:rPr>
                <w:rFonts w:ascii="Arial Narrow" w:hAnsi="Arial Narrow" w:cstheme="minorHAnsi"/>
                <w:color w:val="000000"/>
                <w:sz w:val="20"/>
                <w:szCs w:val="20"/>
              </w:rPr>
              <w:t xml:space="preserve">. (UN 3082), Chemical kit or first aid kit (UN3316), Aviation regulated liquid </w:t>
            </w:r>
            <w:proofErr w:type="spellStart"/>
            <w:r w:rsidRPr="00410336">
              <w:rPr>
                <w:rFonts w:ascii="Arial Narrow" w:hAnsi="Arial Narrow" w:cstheme="minorHAnsi"/>
                <w:color w:val="000000"/>
                <w:sz w:val="20"/>
                <w:szCs w:val="20"/>
              </w:rPr>
              <w:t>n.o.s</w:t>
            </w:r>
            <w:proofErr w:type="spellEnd"/>
            <w:r w:rsidRPr="00410336">
              <w:rPr>
                <w:rFonts w:ascii="Arial Narrow" w:hAnsi="Arial Narrow" w:cstheme="minorHAnsi"/>
                <w:color w:val="000000"/>
                <w:sz w:val="20"/>
                <w:szCs w:val="20"/>
              </w:rPr>
              <w:t xml:space="preserve">. (UN3334), Aviation regulated solid, </w:t>
            </w:r>
            <w:proofErr w:type="spellStart"/>
            <w:r w:rsidRPr="00410336">
              <w:rPr>
                <w:rFonts w:ascii="Arial Narrow" w:hAnsi="Arial Narrow" w:cstheme="minorHAnsi"/>
                <w:color w:val="000000"/>
                <w:sz w:val="20"/>
                <w:szCs w:val="20"/>
              </w:rPr>
              <w:t>n.o.s</w:t>
            </w:r>
            <w:proofErr w:type="spellEnd"/>
            <w:r w:rsidRPr="00410336">
              <w:rPr>
                <w:rFonts w:ascii="Arial Narrow" w:hAnsi="Arial Narrow" w:cstheme="minorHAnsi"/>
                <w:color w:val="000000"/>
                <w:sz w:val="20"/>
                <w:szCs w:val="20"/>
              </w:rPr>
              <w:t>. (UN 3335)</w:t>
            </w:r>
          </w:p>
        </w:tc>
      </w:tr>
      <w:tr w:rsidR="003A1CA3" w:rsidRPr="00391C55" w:rsidTr="00943268">
        <w:trPr>
          <w:trHeight w:val="20"/>
        </w:trPr>
        <w:tc>
          <w:tcPr>
            <w:tcW w:w="9664" w:type="dxa"/>
            <w:gridSpan w:val="5"/>
            <w:tcBorders>
              <w:top w:val="nil"/>
              <w:left w:val="single" w:sz="4" w:space="0" w:color="auto"/>
              <w:bottom w:val="single" w:sz="4" w:space="0" w:color="auto"/>
              <w:right w:val="single" w:sz="4" w:space="0" w:color="auto"/>
            </w:tcBorders>
            <w:shd w:val="clear" w:color="auto" w:fill="auto"/>
            <w:vAlign w:val="center"/>
            <w:hideMark/>
          </w:tcPr>
          <w:p w:rsidR="003A1CA3" w:rsidRDefault="003A1CA3" w:rsidP="00E45823">
            <w:pPr>
              <w:spacing w:before="120" w:line="240" w:lineRule="auto"/>
              <w:rPr>
                <w:rFonts w:ascii="Arial Narrow" w:hAnsi="Arial Narrow" w:cstheme="minorHAnsi"/>
                <w:color w:val="000000"/>
                <w:sz w:val="18"/>
                <w:szCs w:val="18"/>
              </w:rPr>
            </w:pPr>
            <w:r>
              <w:rPr>
                <w:rFonts w:ascii="Arial Narrow" w:hAnsi="Arial Narrow" w:cstheme="minorHAnsi"/>
                <w:color w:val="000000"/>
                <w:sz w:val="18"/>
                <w:szCs w:val="18"/>
              </w:rPr>
              <w:t>NA</w:t>
            </w:r>
            <w:r>
              <w:rPr>
                <w:rFonts w:ascii="Arial Narrow" w:hAnsi="Arial Narrow" w:cstheme="minorHAnsi"/>
                <w:color w:val="000000"/>
                <w:sz w:val="18"/>
                <w:szCs w:val="18"/>
              </w:rPr>
              <w:tab/>
              <w:t>not applicable</w:t>
            </w:r>
          </w:p>
          <w:p w:rsidR="003A1CA3" w:rsidRPr="00425C5D" w:rsidRDefault="003A1CA3" w:rsidP="00E45823">
            <w:pPr>
              <w:spacing w:after="120" w:line="240" w:lineRule="auto"/>
              <w:rPr>
                <w:rFonts w:ascii="Arial Narrow" w:hAnsi="Arial Narrow" w:cstheme="minorHAnsi"/>
                <w:color w:val="000000"/>
                <w:sz w:val="18"/>
                <w:szCs w:val="18"/>
              </w:rPr>
            </w:pPr>
            <w:proofErr w:type="spellStart"/>
            <w:r>
              <w:rPr>
                <w:rFonts w:ascii="Arial Narrow" w:hAnsi="Arial Narrow" w:cstheme="minorHAnsi"/>
                <w:color w:val="000000"/>
                <w:sz w:val="18"/>
                <w:szCs w:val="18"/>
              </w:rPr>
              <w:t>n.o.s</w:t>
            </w:r>
            <w:proofErr w:type="spellEnd"/>
            <w:r>
              <w:rPr>
                <w:rFonts w:ascii="Arial Narrow" w:hAnsi="Arial Narrow" w:cstheme="minorHAnsi"/>
                <w:color w:val="000000"/>
                <w:sz w:val="18"/>
                <w:szCs w:val="18"/>
              </w:rPr>
              <w:t>.</w:t>
            </w:r>
            <w:r>
              <w:rPr>
                <w:rFonts w:ascii="Arial Narrow" w:hAnsi="Arial Narrow" w:cstheme="minorHAnsi"/>
                <w:color w:val="000000"/>
                <w:sz w:val="18"/>
                <w:szCs w:val="18"/>
              </w:rPr>
              <w:tab/>
              <w:t>not otherwise specified</w:t>
            </w:r>
          </w:p>
        </w:tc>
      </w:tr>
    </w:tbl>
    <w:p w:rsidR="00F41D21" w:rsidRPr="00410336" w:rsidRDefault="00F41D21" w:rsidP="00BE3D97"/>
    <w:p w:rsidR="001D44DB" w:rsidRDefault="001D44DB">
      <w:pPr>
        <w:spacing w:line="240" w:lineRule="auto"/>
        <w:rPr>
          <w:i/>
        </w:rPr>
      </w:pPr>
      <w:r>
        <w:rPr>
          <w:i/>
        </w:rPr>
        <w:br w:type="page"/>
      </w:r>
    </w:p>
    <w:p w:rsidR="00E577DE" w:rsidRPr="00391C55" w:rsidRDefault="00391C55" w:rsidP="00391C55">
      <w:pPr>
        <w:rPr>
          <w:i/>
        </w:rPr>
      </w:pPr>
      <w:r w:rsidRPr="00391C55">
        <w:rPr>
          <w:i/>
        </w:rPr>
        <w:lastRenderedPageBreak/>
        <w:t>A note on shipping formaldehyde:</w:t>
      </w:r>
    </w:p>
    <w:p w:rsidR="00E577DE" w:rsidRPr="00391C55" w:rsidRDefault="0089607B" w:rsidP="00391C55">
      <w:r w:rsidRPr="00391C55">
        <w:t xml:space="preserve">Formaldehyde and formaldehyde solutions such as formalin are commonly shipped by researchers as part of biological shipments. The concentration and flashpoint of the formaldehyde being shipped determines whether or not it is a hazardous material and </w:t>
      </w:r>
      <w:r w:rsidR="00CC5895" w:rsidRPr="00391C55">
        <w:t>what hazard class it should be shipped under.</w:t>
      </w:r>
    </w:p>
    <w:p w:rsidR="003A1CA3" w:rsidRPr="005C330B" w:rsidRDefault="003A1CA3" w:rsidP="00391C55">
      <w:pPr>
        <w:rPr>
          <w:rFonts w:ascii="Arial Narrow" w:hAnsi="Arial Narrow"/>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1350"/>
        <w:gridCol w:w="990"/>
        <w:gridCol w:w="990"/>
        <w:gridCol w:w="2795"/>
      </w:tblGrid>
      <w:tr w:rsidR="0089607B" w:rsidRPr="00391C55" w:rsidTr="00410336">
        <w:tc>
          <w:tcPr>
            <w:tcW w:w="3235" w:type="dxa"/>
            <w:shd w:val="clear" w:color="auto" w:fill="F2F2F2" w:themeFill="background1" w:themeFillShade="F2"/>
            <w:vAlign w:val="center"/>
          </w:tcPr>
          <w:p w:rsidR="0089607B" w:rsidRPr="00410336" w:rsidRDefault="0089607B" w:rsidP="00391C55">
            <w:pPr>
              <w:jc w:val="center"/>
              <w:rPr>
                <w:rFonts w:ascii="Arial Narrow" w:hAnsi="Arial Narrow" w:cs="Arial"/>
                <w:b/>
                <w:sz w:val="20"/>
                <w:szCs w:val="20"/>
              </w:rPr>
            </w:pPr>
            <w:r w:rsidRPr="00410336">
              <w:rPr>
                <w:rFonts w:ascii="Arial Narrow" w:hAnsi="Arial Narrow" w:cs="Arial"/>
                <w:b/>
                <w:sz w:val="20"/>
                <w:szCs w:val="20"/>
              </w:rPr>
              <w:t>Solution (% by volume)</w:t>
            </w:r>
          </w:p>
        </w:tc>
        <w:tc>
          <w:tcPr>
            <w:tcW w:w="1350" w:type="dxa"/>
            <w:shd w:val="clear" w:color="auto" w:fill="F2F2F2" w:themeFill="background1" w:themeFillShade="F2"/>
            <w:vAlign w:val="center"/>
          </w:tcPr>
          <w:p w:rsidR="0089607B" w:rsidRPr="00410336" w:rsidRDefault="0089607B" w:rsidP="00391C55">
            <w:pPr>
              <w:jc w:val="center"/>
              <w:rPr>
                <w:rFonts w:ascii="Arial Narrow" w:hAnsi="Arial Narrow" w:cs="Arial"/>
                <w:b/>
                <w:sz w:val="20"/>
                <w:szCs w:val="20"/>
              </w:rPr>
            </w:pPr>
            <w:r w:rsidRPr="00410336">
              <w:rPr>
                <w:rFonts w:ascii="Arial Narrow" w:hAnsi="Arial Narrow" w:cs="Arial"/>
                <w:b/>
                <w:sz w:val="20"/>
                <w:szCs w:val="20"/>
              </w:rPr>
              <w:t>Hazardous (Y/N)</w:t>
            </w:r>
          </w:p>
        </w:tc>
        <w:tc>
          <w:tcPr>
            <w:tcW w:w="990" w:type="dxa"/>
            <w:shd w:val="clear" w:color="auto" w:fill="F2F2F2" w:themeFill="background1" w:themeFillShade="F2"/>
            <w:vAlign w:val="center"/>
          </w:tcPr>
          <w:p w:rsidR="0089607B" w:rsidRPr="00410336" w:rsidRDefault="0089607B" w:rsidP="00391C55">
            <w:pPr>
              <w:jc w:val="center"/>
              <w:rPr>
                <w:rFonts w:ascii="Arial Narrow" w:hAnsi="Arial Narrow" w:cs="Arial"/>
                <w:b/>
                <w:sz w:val="20"/>
                <w:szCs w:val="20"/>
              </w:rPr>
            </w:pPr>
            <w:r w:rsidRPr="00410336">
              <w:rPr>
                <w:rFonts w:ascii="Arial Narrow" w:hAnsi="Arial Narrow" w:cs="Arial"/>
                <w:b/>
                <w:sz w:val="20"/>
                <w:szCs w:val="20"/>
              </w:rPr>
              <w:t>UN#</w:t>
            </w:r>
          </w:p>
        </w:tc>
        <w:tc>
          <w:tcPr>
            <w:tcW w:w="990" w:type="dxa"/>
            <w:shd w:val="clear" w:color="auto" w:fill="F2F2F2" w:themeFill="background1" w:themeFillShade="F2"/>
            <w:vAlign w:val="center"/>
          </w:tcPr>
          <w:p w:rsidR="0089607B" w:rsidRPr="00410336" w:rsidRDefault="0089607B" w:rsidP="00391C55">
            <w:pPr>
              <w:jc w:val="center"/>
              <w:rPr>
                <w:rFonts w:ascii="Arial Narrow" w:hAnsi="Arial Narrow" w:cs="Arial"/>
                <w:b/>
                <w:sz w:val="20"/>
                <w:szCs w:val="20"/>
              </w:rPr>
            </w:pPr>
            <w:r w:rsidRPr="00410336">
              <w:rPr>
                <w:rFonts w:ascii="Arial Narrow" w:hAnsi="Arial Narrow" w:cs="Arial"/>
                <w:b/>
                <w:sz w:val="20"/>
                <w:szCs w:val="20"/>
              </w:rPr>
              <w:t>Hazard Class</w:t>
            </w:r>
          </w:p>
        </w:tc>
        <w:tc>
          <w:tcPr>
            <w:tcW w:w="2795" w:type="dxa"/>
            <w:shd w:val="clear" w:color="auto" w:fill="F2F2F2" w:themeFill="background1" w:themeFillShade="F2"/>
            <w:vAlign w:val="center"/>
          </w:tcPr>
          <w:p w:rsidR="0089607B" w:rsidRPr="00410336" w:rsidRDefault="0089607B" w:rsidP="00391C55">
            <w:pPr>
              <w:jc w:val="center"/>
              <w:rPr>
                <w:rFonts w:ascii="Arial Narrow" w:hAnsi="Arial Narrow" w:cs="Arial"/>
                <w:b/>
                <w:sz w:val="20"/>
                <w:szCs w:val="20"/>
              </w:rPr>
            </w:pPr>
            <w:r w:rsidRPr="00410336">
              <w:rPr>
                <w:rFonts w:ascii="Arial Narrow" w:hAnsi="Arial Narrow" w:cs="Arial"/>
                <w:b/>
                <w:sz w:val="20"/>
                <w:szCs w:val="20"/>
              </w:rPr>
              <w:t>Proper Shipping Name</w:t>
            </w:r>
          </w:p>
        </w:tc>
      </w:tr>
      <w:tr w:rsidR="0089607B" w:rsidRPr="00391C55" w:rsidTr="00410336">
        <w:tc>
          <w:tcPr>
            <w:tcW w:w="3235" w:type="dxa"/>
          </w:tcPr>
          <w:p w:rsidR="0089607B" w:rsidRPr="00410336" w:rsidRDefault="003A1CA3" w:rsidP="0089607B">
            <w:pPr>
              <w:rPr>
                <w:rFonts w:ascii="Arial Narrow" w:hAnsi="Arial Narrow" w:cs="Arial"/>
                <w:sz w:val="20"/>
                <w:szCs w:val="20"/>
              </w:rPr>
            </w:pPr>
            <w:r w:rsidRPr="003A1CA3">
              <w:rPr>
                <w:sz w:val="20"/>
                <w:szCs w:val="20"/>
              </w:rPr>
              <w:t>≥</w:t>
            </w:r>
            <w:r w:rsidR="0089607B" w:rsidRPr="00410336">
              <w:rPr>
                <w:rFonts w:ascii="Arial Narrow" w:hAnsi="Arial Narrow" w:cs="Arial"/>
                <w:sz w:val="20"/>
                <w:szCs w:val="20"/>
              </w:rPr>
              <w:t xml:space="preserve">25% formaldehyde, flashpoint </w:t>
            </w:r>
            <w:r w:rsidRPr="003A1CA3">
              <w:rPr>
                <w:sz w:val="20"/>
                <w:szCs w:val="20"/>
              </w:rPr>
              <w:t>≥</w:t>
            </w:r>
            <w:r w:rsidR="0089607B" w:rsidRPr="00410336">
              <w:rPr>
                <w:rFonts w:ascii="Arial Narrow" w:hAnsi="Arial Narrow" w:cs="Arial"/>
                <w:sz w:val="20"/>
                <w:szCs w:val="20"/>
              </w:rPr>
              <w:t xml:space="preserve">60 </w:t>
            </w:r>
            <w:r w:rsidR="005C330B" w:rsidRPr="005C330B">
              <w:rPr>
                <w:rFonts w:ascii="Arial Narrow" w:hAnsi="Arial Narrow"/>
                <w:sz w:val="20"/>
                <w:szCs w:val="20"/>
              </w:rPr>
              <w:t>°</w:t>
            </w:r>
            <w:r w:rsidR="0089607B" w:rsidRPr="00410336">
              <w:rPr>
                <w:rFonts w:ascii="Arial Narrow" w:hAnsi="Arial Narrow" w:cs="Arial"/>
                <w:sz w:val="20"/>
                <w:szCs w:val="20"/>
              </w:rPr>
              <w:t>C</w:t>
            </w:r>
          </w:p>
        </w:tc>
        <w:tc>
          <w:tcPr>
            <w:tcW w:w="1350" w:type="dxa"/>
            <w:vAlign w:val="center"/>
          </w:tcPr>
          <w:p w:rsidR="0089607B" w:rsidRPr="00410336" w:rsidRDefault="0089607B" w:rsidP="0089607B">
            <w:pPr>
              <w:jc w:val="center"/>
              <w:rPr>
                <w:rFonts w:ascii="Arial Narrow" w:hAnsi="Arial Narrow" w:cs="Arial"/>
                <w:sz w:val="20"/>
                <w:szCs w:val="20"/>
              </w:rPr>
            </w:pPr>
            <w:r w:rsidRPr="00410336">
              <w:rPr>
                <w:rFonts w:ascii="Arial Narrow" w:hAnsi="Arial Narrow" w:cs="Arial"/>
                <w:sz w:val="20"/>
                <w:szCs w:val="20"/>
              </w:rPr>
              <w:t>Y</w:t>
            </w:r>
          </w:p>
        </w:tc>
        <w:tc>
          <w:tcPr>
            <w:tcW w:w="990" w:type="dxa"/>
            <w:vAlign w:val="center"/>
          </w:tcPr>
          <w:p w:rsidR="0089607B" w:rsidRPr="00410336" w:rsidRDefault="0089607B" w:rsidP="0089607B">
            <w:pPr>
              <w:jc w:val="center"/>
              <w:rPr>
                <w:rFonts w:ascii="Arial Narrow" w:hAnsi="Arial Narrow" w:cs="Arial"/>
                <w:sz w:val="20"/>
                <w:szCs w:val="20"/>
              </w:rPr>
            </w:pPr>
            <w:r w:rsidRPr="00410336">
              <w:rPr>
                <w:rFonts w:ascii="Arial Narrow" w:hAnsi="Arial Narrow" w:cs="Arial"/>
                <w:sz w:val="20"/>
                <w:szCs w:val="20"/>
              </w:rPr>
              <w:t>1198</w:t>
            </w:r>
          </w:p>
        </w:tc>
        <w:tc>
          <w:tcPr>
            <w:tcW w:w="990" w:type="dxa"/>
            <w:vAlign w:val="center"/>
          </w:tcPr>
          <w:p w:rsidR="0089607B" w:rsidRPr="00410336" w:rsidRDefault="0089607B" w:rsidP="0089607B">
            <w:pPr>
              <w:jc w:val="center"/>
              <w:rPr>
                <w:rFonts w:ascii="Arial Narrow" w:hAnsi="Arial Narrow" w:cs="Arial"/>
                <w:sz w:val="20"/>
                <w:szCs w:val="20"/>
              </w:rPr>
            </w:pPr>
            <w:r w:rsidRPr="00410336">
              <w:rPr>
                <w:rFonts w:ascii="Arial Narrow" w:hAnsi="Arial Narrow" w:cs="Arial"/>
                <w:sz w:val="20"/>
                <w:szCs w:val="20"/>
              </w:rPr>
              <w:t>3(8)</w:t>
            </w:r>
          </w:p>
        </w:tc>
        <w:tc>
          <w:tcPr>
            <w:tcW w:w="2795" w:type="dxa"/>
            <w:vAlign w:val="center"/>
          </w:tcPr>
          <w:p w:rsidR="0089607B" w:rsidRPr="00410336" w:rsidRDefault="0089607B" w:rsidP="00410336">
            <w:pPr>
              <w:rPr>
                <w:rFonts w:ascii="Arial Narrow" w:hAnsi="Arial Narrow" w:cs="Arial"/>
                <w:sz w:val="20"/>
                <w:szCs w:val="20"/>
              </w:rPr>
            </w:pPr>
            <w:r w:rsidRPr="00410336">
              <w:rPr>
                <w:rFonts w:ascii="Arial Narrow" w:hAnsi="Arial Narrow" w:cs="Arial"/>
                <w:sz w:val="20"/>
                <w:szCs w:val="20"/>
              </w:rPr>
              <w:t>Formaldehyde solution, flammable</w:t>
            </w:r>
          </w:p>
        </w:tc>
      </w:tr>
      <w:tr w:rsidR="0089607B" w:rsidRPr="00391C55" w:rsidTr="00410336">
        <w:tc>
          <w:tcPr>
            <w:tcW w:w="3235" w:type="dxa"/>
          </w:tcPr>
          <w:p w:rsidR="0089607B" w:rsidRPr="00410336" w:rsidRDefault="003A1CA3">
            <w:pPr>
              <w:rPr>
                <w:rFonts w:ascii="Arial Narrow" w:hAnsi="Arial Narrow" w:cs="Arial"/>
                <w:sz w:val="20"/>
                <w:szCs w:val="20"/>
              </w:rPr>
            </w:pPr>
            <w:r w:rsidRPr="003A1CA3">
              <w:rPr>
                <w:sz w:val="20"/>
                <w:szCs w:val="20"/>
              </w:rPr>
              <w:t>≥</w:t>
            </w:r>
            <w:r w:rsidR="0089607B" w:rsidRPr="00410336">
              <w:rPr>
                <w:rFonts w:ascii="Arial Narrow" w:hAnsi="Arial Narrow" w:cs="Arial"/>
                <w:sz w:val="20"/>
                <w:szCs w:val="20"/>
              </w:rPr>
              <w:t xml:space="preserve">25% formaldehyde, flashpoint &lt;60 </w:t>
            </w:r>
            <w:r w:rsidR="005C330B" w:rsidRPr="005C330B">
              <w:rPr>
                <w:rFonts w:ascii="Arial Narrow" w:hAnsi="Arial Narrow"/>
                <w:sz w:val="20"/>
                <w:szCs w:val="20"/>
              </w:rPr>
              <w:t>°</w:t>
            </w:r>
            <w:r w:rsidR="0089607B" w:rsidRPr="00410336">
              <w:rPr>
                <w:rFonts w:ascii="Arial Narrow" w:hAnsi="Arial Narrow" w:cs="Arial"/>
                <w:sz w:val="20"/>
                <w:szCs w:val="20"/>
              </w:rPr>
              <w:t>C</w:t>
            </w:r>
          </w:p>
        </w:tc>
        <w:tc>
          <w:tcPr>
            <w:tcW w:w="1350" w:type="dxa"/>
            <w:vAlign w:val="center"/>
          </w:tcPr>
          <w:p w:rsidR="0089607B" w:rsidRPr="00410336" w:rsidRDefault="0089607B" w:rsidP="0089607B">
            <w:pPr>
              <w:jc w:val="center"/>
              <w:rPr>
                <w:rFonts w:ascii="Arial Narrow" w:hAnsi="Arial Narrow" w:cs="Arial"/>
                <w:sz w:val="20"/>
                <w:szCs w:val="20"/>
              </w:rPr>
            </w:pPr>
            <w:r w:rsidRPr="00410336">
              <w:rPr>
                <w:rFonts w:ascii="Arial Narrow" w:hAnsi="Arial Narrow" w:cs="Arial"/>
                <w:sz w:val="20"/>
                <w:szCs w:val="20"/>
              </w:rPr>
              <w:t>Y</w:t>
            </w:r>
          </w:p>
        </w:tc>
        <w:tc>
          <w:tcPr>
            <w:tcW w:w="990" w:type="dxa"/>
            <w:vAlign w:val="center"/>
          </w:tcPr>
          <w:p w:rsidR="0089607B" w:rsidRPr="00410336" w:rsidRDefault="0089607B" w:rsidP="0089607B">
            <w:pPr>
              <w:jc w:val="center"/>
              <w:rPr>
                <w:rFonts w:ascii="Arial Narrow" w:hAnsi="Arial Narrow" w:cs="Arial"/>
                <w:sz w:val="20"/>
                <w:szCs w:val="20"/>
              </w:rPr>
            </w:pPr>
            <w:r w:rsidRPr="00410336">
              <w:rPr>
                <w:rFonts w:ascii="Arial Narrow" w:hAnsi="Arial Narrow" w:cs="Arial"/>
                <w:sz w:val="20"/>
                <w:szCs w:val="20"/>
              </w:rPr>
              <w:t>2209</w:t>
            </w:r>
          </w:p>
        </w:tc>
        <w:tc>
          <w:tcPr>
            <w:tcW w:w="990" w:type="dxa"/>
            <w:vAlign w:val="center"/>
          </w:tcPr>
          <w:p w:rsidR="0089607B" w:rsidRPr="00410336" w:rsidRDefault="0089607B" w:rsidP="0089607B">
            <w:pPr>
              <w:jc w:val="center"/>
              <w:rPr>
                <w:rFonts w:ascii="Arial Narrow" w:hAnsi="Arial Narrow" w:cs="Arial"/>
                <w:sz w:val="20"/>
                <w:szCs w:val="20"/>
              </w:rPr>
            </w:pPr>
            <w:r w:rsidRPr="00410336">
              <w:rPr>
                <w:rFonts w:ascii="Arial Narrow" w:hAnsi="Arial Narrow" w:cs="Arial"/>
                <w:sz w:val="20"/>
                <w:szCs w:val="20"/>
              </w:rPr>
              <w:t>8</w:t>
            </w:r>
          </w:p>
        </w:tc>
        <w:tc>
          <w:tcPr>
            <w:tcW w:w="2795" w:type="dxa"/>
            <w:vAlign w:val="center"/>
          </w:tcPr>
          <w:p w:rsidR="0089607B" w:rsidRPr="00410336" w:rsidRDefault="0089607B" w:rsidP="00410336">
            <w:pPr>
              <w:rPr>
                <w:rFonts w:ascii="Arial Narrow" w:hAnsi="Arial Narrow" w:cs="Arial"/>
                <w:sz w:val="20"/>
                <w:szCs w:val="20"/>
              </w:rPr>
            </w:pPr>
            <w:r w:rsidRPr="00410336">
              <w:rPr>
                <w:rFonts w:ascii="Arial Narrow" w:hAnsi="Arial Narrow" w:cs="Arial"/>
                <w:sz w:val="20"/>
                <w:szCs w:val="20"/>
              </w:rPr>
              <w:t>Formaldehyde solution</w:t>
            </w:r>
          </w:p>
        </w:tc>
      </w:tr>
      <w:tr w:rsidR="0089607B" w:rsidRPr="00391C55" w:rsidTr="00410336">
        <w:tc>
          <w:tcPr>
            <w:tcW w:w="3235" w:type="dxa"/>
          </w:tcPr>
          <w:p w:rsidR="0089607B" w:rsidRPr="00410336" w:rsidRDefault="003A1CA3" w:rsidP="0089607B">
            <w:pPr>
              <w:rPr>
                <w:rFonts w:ascii="Arial Narrow" w:hAnsi="Arial Narrow" w:cs="Arial"/>
                <w:sz w:val="20"/>
                <w:szCs w:val="20"/>
              </w:rPr>
            </w:pPr>
            <w:r w:rsidRPr="003A1CA3">
              <w:rPr>
                <w:sz w:val="20"/>
                <w:szCs w:val="20"/>
              </w:rPr>
              <w:t>≥</w:t>
            </w:r>
            <w:r w:rsidR="0089607B" w:rsidRPr="00410336">
              <w:rPr>
                <w:rFonts w:ascii="Arial Narrow" w:hAnsi="Arial Narrow" w:cs="Arial"/>
                <w:sz w:val="20"/>
                <w:szCs w:val="20"/>
              </w:rPr>
              <w:t>10% but &lt;25% formaldehyde</w:t>
            </w:r>
          </w:p>
        </w:tc>
        <w:tc>
          <w:tcPr>
            <w:tcW w:w="1350" w:type="dxa"/>
            <w:vAlign w:val="center"/>
          </w:tcPr>
          <w:p w:rsidR="0089607B" w:rsidRPr="00410336" w:rsidRDefault="0089607B" w:rsidP="0089607B">
            <w:pPr>
              <w:jc w:val="center"/>
              <w:rPr>
                <w:rFonts w:ascii="Arial Narrow" w:hAnsi="Arial Narrow" w:cs="Arial"/>
                <w:sz w:val="20"/>
                <w:szCs w:val="20"/>
              </w:rPr>
            </w:pPr>
            <w:r w:rsidRPr="00410336">
              <w:rPr>
                <w:rFonts w:ascii="Arial Narrow" w:hAnsi="Arial Narrow" w:cs="Arial"/>
                <w:sz w:val="20"/>
                <w:szCs w:val="20"/>
              </w:rPr>
              <w:t>Y</w:t>
            </w:r>
          </w:p>
        </w:tc>
        <w:tc>
          <w:tcPr>
            <w:tcW w:w="990" w:type="dxa"/>
            <w:vAlign w:val="center"/>
          </w:tcPr>
          <w:p w:rsidR="0089607B" w:rsidRPr="00410336" w:rsidRDefault="0089607B" w:rsidP="0089607B">
            <w:pPr>
              <w:jc w:val="center"/>
              <w:rPr>
                <w:rFonts w:ascii="Arial Narrow" w:hAnsi="Arial Narrow" w:cs="Arial"/>
                <w:sz w:val="20"/>
                <w:szCs w:val="20"/>
              </w:rPr>
            </w:pPr>
            <w:r w:rsidRPr="00410336">
              <w:rPr>
                <w:rFonts w:ascii="Arial Narrow" w:hAnsi="Arial Narrow" w:cs="Arial"/>
                <w:sz w:val="20"/>
                <w:szCs w:val="20"/>
              </w:rPr>
              <w:t>3334</w:t>
            </w:r>
          </w:p>
        </w:tc>
        <w:tc>
          <w:tcPr>
            <w:tcW w:w="990" w:type="dxa"/>
            <w:vAlign w:val="center"/>
          </w:tcPr>
          <w:p w:rsidR="0089607B" w:rsidRPr="00410336" w:rsidRDefault="0089607B" w:rsidP="0089607B">
            <w:pPr>
              <w:jc w:val="center"/>
              <w:rPr>
                <w:rFonts w:ascii="Arial Narrow" w:hAnsi="Arial Narrow" w:cs="Arial"/>
                <w:sz w:val="20"/>
                <w:szCs w:val="20"/>
              </w:rPr>
            </w:pPr>
            <w:r w:rsidRPr="00410336">
              <w:rPr>
                <w:rFonts w:ascii="Arial Narrow" w:hAnsi="Arial Narrow" w:cs="Arial"/>
                <w:sz w:val="20"/>
                <w:szCs w:val="20"/>
              </w:rPr>
              <w:t>9</w:t>
            </w:r>
          </w:p>
        </w:tc>
        <w:tc>
          <w:tcPr>
            <w:tcW w:w="2795" w:type="dxa"/>
            <w:vAlign w:val="center"/>
          </w:tcPr>
          <w:p w:rsidR="0089607B" w:rsidRPr="00410336" w:rsidRDefault="0089607B" w:rsidP="00410336">
            <w:pPr>
              <w:rPr>
                <w:rFonts w:ascii="Arial Narrow" w:hAnsi="Arial Narrow" w:cs="Arial"/>
                <w:sz w:val="20"/>
                <w:szCs w:val="20"/>
              </w:rPr>
            </w:pPr>
            <w:r w:rsidRPr="00410336">
              <w:rPr>
                <w:rFonts w:ascii="Arial Narrow" w:hAnsi="Arial Narrow" w:cs="Arial"/>
                <w:sz w:val="20"/>
                <w:szCs w:val="20"/>
              </w:rPr>
              <w:t xml:space="preserve">Aviation regulated liquid, </w:t>
            </w:r>
            <w:proofErr w:type="spellStart"/>
            <w:r w:rsidRPr="00410336">
              <w:rPr>
                <w:rFonts w:ascii="Arial Narrow" w:hAnsi="Arial Narrow" w:cs="Arial"/>
                <w:sz w:val="20"/>
                <w:szCs w:val="20"/>
              </w:rPr>
              <w:t>n.o.s</w:t>
            </w:r>
            <w:proofErr w:type="spellEnd"/>
            <w:r w:rsidRPr="00410336">
              <w:rPr>
                <w:rFonts w:ascii="Arial Narrow" w:hAnsi="Arial Narrow" w:cs="Arial"/>
                <w:sz w:val="20"/>
                <w:szCs w:val="20"/>
              </w:rPr>
              <w:t>.</w:t>
            </w:r>
          </w:p>
        </w:tc>
      </w:tr>
      <w:tr w:rsidR="0089607B" w:rsidRPr="00391C55" w:rsidTr="00410336">
        <w:tc>
          <w:tcPr>
            <w:tcW w:w="3235" w:type="dxa"/>
          </w:tcPr>
          <w:p w:rsidR="0089607B" w:rsidRPr="00410336" w:rsidRDefault="0089607B">
            <w:pPr>
              <w:rPr>
                <w:rFonts w:ascii="Arial Narrow" w:hAnsi="Arial Narrow" w:cs="Arial"/>
                <w:sz w:val="20"/>
                <w:szCs w:val="20"/>
              </w:rPr>
            </w:pPr>
            <w:r w:rsidRPr="00410336">
              <w:rPr>
                <w:rFonts w:ascii="Arial Narrow" w:hAnsi="Arial Narrow" w:cs="Arial"/>
                <w:sz w:val="20"/>
                <w:szCs w:val="20"/>
              </w:rPr>
              <w:t>&lt;10% formaldehyde</w:t>
            </w:r>
          </w:p>
        </w:tc>
        <w:tc>
          <w:tcPr>
            <w:tcW w:w="1350" w:type="dxa"/>
            <w:vAlign w:val="center"/>
          </w:tcPr>
          <w:p w:rsidR="0089607B" w:rsidRPr="00410336" w:rsidRDefault="0089607B" w:rsidP="0089607B">
            <w:pPr>
              <w:jc w:val="center"/>
              <w:rPr>
                <w:rFonts w:ascii="Arial Narrow" w:hAnsi="Arial Narrow" w:cs="Arial"/>
                <w:sz w:val="20"/>
                <w:szCs w:val="20"/>
              </w:rPr>
            </w:pPr>
            <w:r w:rsidRPr="00410336">
              <w:rPr>
                <w:rFonts w:ascii="Arial Narrow" w:hAnsi="Arial Narrow" w:cs="Arial"/>
                <w:sz w:val="20"/>
                <w:szCs w:val="20"/>
              </w:rPr>
              <w:t>N</w:t>
            </w:r>
          </w:p>
        </w:tc>
        <w:tc>
          <w:tcPr>
            <w:tcW w:w="990" w:type="dxa"/>
            <w:vAlign w:val="center"/>
          </w:tcPr>
          <w:p w:rsidR="0089607B" w:rsidRPr="00410336" w:rsidRDefault="0089607B">
            <w:pPr>
              <w:jc w:val="center"/>
              <w:rPr>
                <w:rFonts w:ascii="Arial Narrow" w:hAnsi="Arial Narrow" w:cs="Arial"/>
                <w:sz w:val="20"/>
                <w:szCs w:val="20"/>
              </w:rPr>
            </w:pPr>
            <w:r w:rsidRPr="00410336">
              <w:rPr>
                <w:rFonts w:ascii="Arial Narrow" w:hAnsi="Arial Narrow" w:cs="Arial"/>
                <w:sz w:val="20"/>
                <w:szCs w:val="20"/>
              </w:rPr>
              <w:t>NA</w:t>
            </w:r>
          </w:p>
        </w:tc>
        <w:tc>
          <w:tcPr>
            <w:tcW w:w="990" w:type="dxa"/>
            <w:vAlign w:val="center"/>
          </w:tcPr>
          <w:p w:rsidR="0089607B" w:rsidRPr="00410336" w:rsidRDefault="0089607B">
            <w:pPr>
              <w:jc w:val="center"/>
              <w:rPr>
                <w:rFonts w:ascii="Arial Narrow" w:hAnsi="Arial Narrow" w:cs="Arial"/>
                <w:sz w:val="20"/>
                <w:szCs w:val="20"/>
              </w:rPr>
            </w:pPr>
            <w:r w:rsidRPr="00410336">
              <w:rPr>
                <w:rFonts w:ascii="Arial Narrow" w:hAnsi="Arial Narrow" w:cs="Arial"/>
                <w:sz w:val="20"/>
                <w:szCs w:val="20"/>
              </w:rPr>
              <w:t>NA</w:t>
            </w:r>
          </w:p>
        </w:tc>
        <w:tc>
          <w:tcPr>
            <w:tcW w:w="2795" w:type="dxa"/>
            <w:vAlign w:val="center"/>
          </w:tcPr>
          <w:p w:rsidR="0089607B" w:rsidRPr="00410336" w:rsidRDefault="0089607B" w:rsidP="00410336">
            <w:pPr>
              <w:rPr>
                <w:rFonts w:ascii="Arial Narrow" w:hAnsi="Arial Narrow" w:cs="Arial"/>
                <w:sz w:val="20"/>
                <w:szCs w:val="20"/>
              </w:rPr>
            </w:pPr>
            <w:r w:rsidRPr="00410336">
              <w:rPr>
                <w:rFonts w:ascii="Arial Narrow" w:hAnsi="Arial Narrow" w:cs="Arial"/>
                <w:sz w:val="20"/>
                <w:szCs w:val="20"/>
              </w:rPr>
              <w:t>NA</w:t>
            </w:r>
          </w:p>
        </w:tc>
      </w:tr>
      <w:tr w:rsidR="003A1CA3" w:rsidRPr="00391C55" w:rsidTr="00943268">
        <w:tc>
          <w:tcPr>
            <w:tcW w:w="9360" w:type="dxa"/>
            <w:gridSpan w:val="5"/>
            <w:tcBorders>
              <w:top w:val="single" w:sz="4" w:space="0" w:color="auto"/>
              <w:left w:val="single" w:sz="4" w:space="0" w:color="auto"/>
              <w:bottom w:val="single" w:sz="4" w:space="0" w:color="auto"/>
              <w:right w:val="single" w:sz="4" w:space="0" w:color="auto"/>
            </w:tcBorders>
          </w:tcPr>
          <w:p w:rsidR="00410336" w:rsidRDefault="00410336" w:rsidP="00410336">
            <w:pPr>
              <w:spacing w:line="240" w:lineRule="auto"/>
              <w:rPr>
                <w:rFonts w:ascii="Arial Narrow" w:hAnsi="Arial Narrow"/>
                <w:sz w:val="18"/>
                <w:szCs w:val="18"/>
              </w:rPr>
            </w:pPr>
          </w:p>
          <w:p w:rsidR="003A1CA3" w:rsidRDefault="003A1CA3" w:rsidP="00410336">
            <w:pPr>
              <w:spacing w:line="240" w:lineRule="auto"/>
              <w:rPr>
                <w:rFonts w:ascii="Arial Narrow" w:hAnsi="Arial Narrow"/>
                <w:sz w:val="18"/>
                <w:szCs w:val="18"/>
              </w:rPr>
            </w:pPr>
            <w:r w:rsidRPr="00410336">
              <w:rPr>
                <w:rFonts w:ascii="Arial Narrow" w:hAnsi="Arial Narrow"/>
                <w:sz w:val="18"/>
                <w:szCs w:val="18"/>
              </w:rPr>
              <w:t>≥</w:t>
            </w:r>
            <w:r w:rsidRPr="00410336">
              <w:rPr>
                <w:rFonts w:ascii="Arial Narrow" w:hAnsi="Arial Narrow"/>
                <w:sz w:val="18"/>
                <w:szCs w:val="18"/>
              </w:rPr>
              <w:tab/>
              <w:t>greater than or equal to</w:t>
            </w:r>
          </w:p>
          <w:p w:rsidR="005C330B" w:rsidRDefault="005C330B" w:rsidP="00410336">
            <w:pPr>
              <w:spacing w:line="240" w:lineRule="auto"/>
              <w:rPr>
                <w:rFonts w:ascii="Arial Narrow" w:hAnsi="Arial Narrow"/>
                <w:sz w:val="18"/>
                <w:szCs w:val="18"/>
              </w:rPr>
            </w:pPr>
            <w:r>
              <w:rPr>
                <w:rFonts w:ascii="Arial Narrow" w:hAnsi="Arial Narrow"/>
                <w:sz w:val="18"/>
                <w:szCs w:val="18"/>
              </w:rPr>
              <w:t>&lt;</w:t>
            </w:r>
            <w:r>
              <w:rPr>
                <w:rFonts w:ascii="Arial Narrow" w:hAnsi="Arial Narrow"/>
                <w:sz w:val="18"/>
                <w:szCs w:val="18"/>
              </w:rPr>
              <w:tab/>
              <w:t>less than</w:t>
            </w:r>
          </w:p>
          <w:p w:rsidR="005C330B" w:rsidRDefault="005C330B" w:rsidP="00410336">
            <w:pPr>
              <w:spacing w:line="240" w:lineRule="auto"/>
              <w:rPr>
                <w:rFonts w:ascii="Arial Narrow" w:hAnsi="Arial Narrow" w:cs="Arial"/>
                <w:sz w:val="20"/>
                <w:szCs w:val="20"/>
              </w:rPr>
            </w:pPr>
            <w:r w:rsidRPr="005C330B">
              <w:rPr>
                <w:rFonts w:ascii="Arial Narrow" w:hAnsi="Arial Narrow"/>
                <w:sz w:val="20"/>
                <w:szCs w:val="20"/>
              </w:rPr>
              <w:t>°</w:t>
            </w:r>
            <w:r w:rsidRPr="00E45823">
              <w:rPr>
                <w:rFonts w:ascii="Arial Narrow" w:hAnsi="Arial Narrow" w:cs="Arial"/>
                <w:sz w:val="20"/>
                <w:szCs w:val="20"/>
              </w:rPr>
              <w:t>C</w:t>
            </w:r>
            <w:r>
              <w:rPr>
                <w:rFonts w:ascii="Arial Narrow" w:hAnsi="Arial Narrow" w:cs="Arial"/>
                <w:sz w:val="20"/>
                <w:szCs w:val="20"/>
              </w:rPr>
              <w:tab/>
              <w:t>degrees Celsius</w:t>
            </w:r>
          </w:p>
          <w:p w:rsidR="005C330B" w:rsidRDefault="005C330B" w:rsidP="00410336">
            <w:pPr>
              <w:spacing w:line="240" w:lineRule="auto"/>
              <w:rPr>
                <w:rFonts w:ascii="Arial Narrow" w:hAnsi="Arial Narrow" w:cs="Arial"/>
                <w:sz w:val="20"/>
                <w:szCs w:val="20"/>
              </w:rPr>
            </w:pPr>
            <w:proofErr w:type="spellStart"/>
            <w:r>
              <w:rPr>
                <w:rFonts w:ascii="Arial Narrow" w:hAnsi="Arial Narrow" w:cs="Arial"/>
                <w:sz w:val="20"/>
                <w:szCs w:val="20"/>
              </w:rPr>
              <w:t>n.o.s</w:t>
            </w:r>
            <w:proofErr w:type="spellEnd"/>
            <w:r>
              <w:rPr>
                <w:rFonts w:ascii="Arial Narrow" w:hAnsi="Arial Narrow" w:cs="Arial"/>
                <w:sz w:val="20"/>
                <w:szCs w:val="20"/>
              </w:rPr>
              <w:t>.</w:t>
            </w:r>
            <w:r>
              <w:rPr>
                <w:rFonts w:ascii="Arial Narrow" w:hAnsi="Arial Narrow" w:cs="Arial"/>
                <w:sz w:val="20"/>
                <w:szCs w:val="20"/>
              </w:rPr>
              <w:tab/>
              <w:t>not otherwise specified</w:t>
            </w:r>
          </w:p>
          <w:p w:rsidR="005C330B" w:rsidRPr="00410336" w:rsidRDefault="005C330B" w:rsidP="00410336">
            <w:pPr>
              <w:spacing w:line="240" w:lineRule="auto"/>
              <w:rPr>
                <w:rFonts w:ascii="Arial Narrow" w:hAnsi="Arial Narrow"/>
                <w:sz w:val="18"/>
                <w:szCs w:val="18"/>
              </w:rPr>
            </w:pPr>
            <w:r>
              <w:rPr>
                <w:rFonts w:ascii="Arial Narrow" w:hAnsi="Arial Narrow" w:cs="Arial"/>
                <w:sz w:val="20"/>
                <w:szCs w:val="20"/>
              </w:rPr>
              <w:t>NA</w:t>
            </w:r>
            <w:r>
              <w:rPr>
                <w:rFonts w:ascii="Arial Narrow" w:hAnsi="Arial Narrow" w:cs="Arial"/>
                <w:sz w:val="20"/>
                <w:szCs w:val="20"/>
              </w:rPr>
              <w:tab/>
              <w:t>not applicable</w:t>
            </w:r>
          </w:p>
          <w:p w:rsidR="003A1CA3" w:rsidRPr="00410336" w:rsidRDefault="003A1CA3" w:rsidP="00410336">
            <w:pPr>
              <w:spacing w:line="240" w:lineRule="auto"/>
              <w:rPr>
                <w:rFonts w:ascii="Arial Narrow" w:hAnsi="Arial Narrow" w:cs="Arial"/>
                <w:sz w:val="18"/>
                <w:szCs w:val="18"/>
              </w:rPr>
            </w:pPr>
          </w:p>
        </w:tc>
      </w:tr>
    </w:tbl>
    <w:p w:rsidR="0089607B" w:rsidRDefault="0089607B" w:rsidP="0089607B"/>
    <w:p w:rsidR="0089607B" w:rsidRPr="00391C55" w:rsidRDefault="0089607B" w:rsidP="0089607B">
      <w:r w:rsidRPr="00391C55">
        <w:t>Formaldehyde or formalin may be considered a class 3, 8, or 9 hazard, depending on the concentration of formaldehyde in the solution and whether or not the solution is flammable. Reference the above table to determine whether your solution must be shipped as a dangerous good.</w:t>
      </w:r>
    </w:p>
    <w:p w:rsidR="0089607B" w:rsidRPr="00391C55" w:rsidRDefault="0089607B" w:rsidP="0089607B"/>
    <w:p w:rsidR="0089607B" w:rsidRPr="00391C55" w:rsidRDefault="0089607B" w:rsidP="0089607B">
      <w:r w:rsidRPr="00391C55">
        <w:t>Check the Safety Data Sheet (SDS) for your solution to find the flashpoint and concentration. You should have an SDS for any hazardous chemical in your laboratory. If you need a SDS, you can check with the vendor that you purchased the chemical from or an online SDS database.</w:t>
      </w:r>
    </w:p>
    <w:p w:rsidR="0089607B" w:rsidRPr="00391C55" w:rsidRDefault="0089607B" w:rsidP="0089607B"/>
    <w:p w:rsidR="0089607B" w:rsidRPr="00391C55" w:rsidRDefault="0089607B" w:rsidP="0089607B">
      <w:r w:rsidRPr="00391C55">
        <w:t>If you are shipping formalin solution that is less than 10% formaldehyde by volume, it is not considered a “dangerous good” for shipping purposes. Your shipment must still be packaged in sealed, leak-proof containment, and your secondary packaging should contain enough absorbent material to completely absorb the contents of the inner packaging. Your bill of lading/air waybill should contain a description of what you are shipping (</w:t>
      </w:r>
      <w:r w:rsidR="00522B60">
        <w:t>e.g</w:t>
      </w:r>
      <w:r w:rsidRPr="00391C55">
        <w:t>.</w:t>
      </w:r>
      <w:r w:rsidR="00425C5D">
        <w:t>,</w:t>
      </w:r>
      <w:r w:rsidR="004D1D1B">
        <w:t xml:space="preserve"> </w:t>
      </w:r>
      <w:r w:rsidRPr="00391C55">
        <w:t>10% buffered formalin) and the words “non-hazardous.” If you are preparing an international shipment, this information must also be included on the commercial invoice.</w:t>
      </w:r>
    </w:p>
    <w:p w:rsidR="0089607B" w:rsidRPr="00391C55" w:rsidRDefault="0089607B" w:rsidP="0089607B"/>
    <w:p w:rsidR="0089607B" w:rsidRPr="00391C55" w:rsidRDefault="0089607B" w:rsidP="00BE3D97">
      <w:r w:rsidRPr="00391C55">
        <w:t xml:space="preserve">If your solution contains 10% or greater formaldehyde, it is classified as a Dangerous Good under the Dangerous Goods Regulations (DGR). </w:t>
      </w:r>
      <w:r w:rsidR="00CC5895" w:rsidRPr="00391C55">
        <w:t>Check the DGR to determine what amount can be shipped as an Excepted Quantity or Limited Quantity.</w:t>
      </w:r>
      <w:r w:rsidR="00391C55" w:rsidRPr="00391C55">
        <w:t xml:space="preserve"> </w:t>
      </w:r>
    </w:p>
    <w:sectPr w:rsidR="0089607B" w:rsidRPr="00391C55" w:rsidSect="00CB26F1">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379" w:rsidRDefault="00582379">
      <w:pPr>
        <w:spacing w:line="240" w:lineRule="auto"/>
      </w:pPr>
      <w:r>
        <w:separator/>
      </w:r>
    </w:p>
  </w:endnote>
  <w:endnote w:type="continuationSeparator" w:id="0">
    <w:p w:rsidR="00582379" w:rsidRDefault="005823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BBE" w:rsidRDefault="00493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225" w:rsidRPr="00297767" w:rsidRDefault="004A1225" w:rsidP="00297767">
    <w:pPr>
      <w:pStyle w:val="Footer"/>
      <w:spacing w:line="240" w:lineRule="auto"/>
      <w:jc w:val="right"/>
      <w:rPr>
        <w:color w:val="003CB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BBE" w:rsidRDefault="00493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379" w:rsidRDefault="00582379">
      <w:pPr>
        <w:spacing w:line="240" w:lineRule="auto"/>
      </w:pPr>
      <w:r>
        <w:separator/>
      </w:r>
    </w:p>
  </w:footnote>
  <w:footnote w:type="continuationSeparator" w:id="0">
    <w:p w:rsidR="00582379" w:rsidRDefault="005823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BBE" w:rsidRDefault="00493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BBE" w:rsidRDefault="00493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BBE" w:rsidRDefault="00493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EA18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AA52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7E38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2235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FC82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C072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0265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D247B2"/>
    <w:lvl w:ilvl="0">
      <w:start w:val="1"/>
      <w:numFmt w:val="bullet"/>
      <w:lvlText w:val="−"/>
      <w:lvlJc w:val="left"/>
      <w:pPr>
        <w:ind w:left="720" w:hanging="360"/>
      </w:pPr>
      <w:rPr>
        <w:rFonts w:ascii="Arial" w:hAnsi="Arial" w:cs="Times New Roman" w:hint="default"/>
        <w:b/>
        <w:i w:val="0"/>
        <w:color w:val="006666"/>
      </w:rPr>
    </w:lvl>
  </w:abstractNum>
  <w:abstractNum w:abstractNumId="8" w15:restartNumberingAfterBreak="0">
    <w:nsid w:val="FFFFFF88"/>
    <w:multiLevelType w:val="singleLevel"/>
    <w:tmpl w:val="69C2D0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4CD82E"/>
    <w:lvl w:ilvl="0">
      <w:start w:val="1"/>
      <w:numFmt w:val="bullet"/>
      <w:pStyle w:val="ListBullet"/>
      <w:lvlText w:val=""/>
      <w:lvlJc w:val="left"/>
      <w:pPr>
        <w:ind w:left="360" w:hanging="360"/>
      </w:pPr>
      <w:rPr>
        <w:rFonts w:ascii="Symbol" w:hAnsi="Symbol" w:hint="default"/>
        <w:color w:val="006666"/>
      </w:rPr>
    </w:lvl>
  </w:abstractNum>
  <w:abstractNum w:abstractNumId="10" w15:restartNumberingAfterBreak="0">
    <w:nsid w:val="FFFFFFFE"/>
    <w:multiLevelType w:val="singleLevel"/>
    <w:tmpl w:val="9FA4D252"/>
    <w:lvl w:ilvl="0">
      <w:numFmt w:val="decimal"/>
      <w:lvlText w:val="*"/>
      <w:lvlJc w:val="left"/>
    </w:lvl>
  </w:abstractNum>
  <w:abstractNum w:abstractNumId="11" w15:restartNumberingAfterBreak="0">
    <w:nsid w:val="00EC0A7F"/>
    <w:multiLevelType w:val="hybridMultilevel"/>
    <w:tmpl w:val="D25A7FAA"/>
    <w:lvl w:ilvl="0" w:tplc="F3FC8BD6">
      <w:start w:val="1"/>
      <w:numFmt w:val="decimal"/>
      <w:lvlText w:val="%1."/>
      <w:lvlJc w:val="righ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08F14061"/>
    <w:multiLevelType w:val="hybridMultilevel"/>
    <w:tmpl w:val="2BE08F4C"/>
    <w:lvl w:ilvl="0" w:tplc="CD329B64">
      <w:start w:val="1"/>
      <w:numFmt w:val="bullet"/>
      <w:lvlText w:val=""/>
      <w:lvlJc w:val="left"/>
      <w:pPr>
        <w:ind w:left="720" w:hanging="360"/>
      </w:pPr>
      <w:rPr>
        <w:rFonts w:ascii="Symbol" w:hAnsi="Symbol" w:hint="default"/>
        <w:color w:val="0066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2B308D"/>
    <w:multiLevelType w:val="hybridMultilevel"/>
    <w:tmpl w:val="9B047264"/>
    <w:lvl w:ilvl="0" w:tplc="E9669B2E">
      <w:start w:val="1"/>
      <w:numFmt w:val="bullet"/>
      <w:lvlText w:val="−"/>
      <w:lvlJc w:val="left"/>
      <w:pPr>
        <w:ind w:left="720" w:hanging="360"/>
      </w:pPr>
      <w:rPr>
        <w:rFonts w:ascii="Arial Bold" w:hAnsi="Arial Bold" w:hint="default"/>
        <w:b/>
        <w:i w:val="0"/>
        <w:color w:val="0066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7A77E3"/>
    <w:multiLevelType w:val="hybridMultilevel"/>
    <w:tmpl w:val="40DEDD14"/>
    <w:lvl w:ilvl="0" w:tplc="EABE17D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AF4432"/>
    <w:multiLevelType w:val="hybridMultilevel"/>
    <w:tmpl w:val="D5A47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A425E"/>
    <w:multiLevelType w:val="hybridMultilevel"/>
    <w:tmpl w:val="2CAABA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2189493C"/>
    <w:multiLevelType w:val="hybridMultilevel"/>
    <w:tmpl w:val="9DF4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A11E5"/>
    <w:multiLevelType w:val="hybridMultilevel"/>
    <w:tmpl w:val="BCF6D5A6"/>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E40041"/>
    <w:multiLevelType w:val="hybridMultilevel"/>
    <w:tmpl w:val="FC46B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42140B"/>
    <w:multiLevelType w:val="hybridMultilevel"/>
    <w:tmpl w:val="1A5A7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787ACE"/>
    <w:multiLevelType w:val="hybridMultilevel"/>
    <w:tmpl w:val="0CC8DA7A"/>
    <w:lvl w:ilvl="0" w:tplc="2C507F4E">
      <w:start w:val="1"/>
      <w:numFmt w:val="bullet"/>
      <w:pStyle w:val="ListBullet2"/>
      <w:lvlText w:val="−"/>
      <w:lvlJc w:val="left"/>
      <w:pPr>
        <w:ind w:left="720" w:hanging="360"/>
      </w:pPr>
      <w:rPr>
        <w:rFonts w:ascii="Arial" w:hAnsi="Arial" w:hint="default"/>
        <w:color w:val="0066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5C2A14"/>
    <w:multiLevelType w:val="hybridMultilevel"/>
    <w:tmpl w:val="7616C1B0"/>
    <w:lvl w:ilvl="0" w:tplc="F0A0E0D2">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3C7065B9"/>
    <w:multiLevelType w:val="hybridMultilevel"/>
    <w:tmpl w:val="D25A7FAA"/>
    <w:lvl w:ilvl="0" w:tplc="F3FC8B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1146D4"/>
    <w:multiLevelType w:val="hybridMultilevel"/>
    <w:tmpl w:val="F0069D02"/>
    <w:lvl w:ilvl="0" w:tplc="51D247B2">
      <w:start w:val="1"/>
      <w:numFmt w:val="bullet"/>
      <w:lvlText w:val="−"/>
      <w:lvlJc w:val="left"/>
      <w:pPr>
        <w:ind w:left="720" w:hanging="360"/>
      </w:pPr>
      <w:rPr>
        <w:rFonts w:ascii="Arial" w:hAnsi="Arial" w:hint="default"/>
        <w:color w:val="0066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4524D"/>
    <w:multiLevelType w:val="hybridMultilevel"/>
    <w:tmpl w:val="36B4070C"/>
    <w:lvl w:ilvl="0" w:tplc="51D247B2">
      <w:start w:val="1"/>
      <w:numFmt w:val="bullet"/>
      <w:lvlText w:val="−"/>
      <w:lvlJc w:val="left"/>
      <w:pPr>
        <w:ind w:left="720" w:hanging="360"/>
      </w:pPr>
      <w:rPr>
        <w:rFonts w:ascii="Arial" w:hAnsi="Arial" w:hint="default"/>
        <w:color w:val="0066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46782"/>
    <w:multiLevelType w:val="hybridMultilevel"/>
    <w:tmpl w:val="F85C6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A674E"/>
    <w:multiLevelType w:val="hybridMultilevel"/>
    <w:tmpl w:val="B426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B4850"/>
    <w:multiLevelType w:val="hybridMultilevel"/>
    <w:tmpl w:val="E552FDC0"/>
    <w:lvl w:ilvl="0" w:tplc="753848EE">
      <w:start w:val="1"/>
      <w:numFmt w:val="bullet"/>
      <w:lvlText w:val=""/>
      <w:lvlJc w:val="left"/>
      <w:pPr>
        <w:ind w:left="720" w:hanging="360"/>
      </w:pPr>
      <w:rPr>
        <w:rFonts w:ascii="Wingdings 3" w:hAnsi="Wingdings 3" w:hint="default"/>
        <w:color w:val="0052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3A3F4B"/>
    <w:multiLevelType w:val="hybridMultilevel"/>
    <w:tmpl w:val="BAA86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1E3FD1"/>
    <w:multiLevelType w:val="hybridMultilevel"/>
    <w:tmpl w:val="02FC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D35D0D"/>
    <w:multiLevelType w:val="hybridMultilevel"/>
    <w:tmpl w:val="0DC6DDAE"/>
    <w:lvl w:ilvl="0" w:tplc="F3FC8B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CE0D00"/>
    <w:multiLevelType w:val="hybridMultilevel"/>
    <w:tmpl w:val="EBBAD3E2"/>
    <w:lvl w:ilvl="0" w:tplc="04090011">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CE1846"/>
    <w:multiLevelType w:val="hybridMultilevel"/>
    <w:tmpl w:val="D564FB36"/>
    <w:lvl w:ilvl="0" w:tplc="CD329B64">
      <w:start w:val="1"/>
      <w:numFmt w:val="bullet"/>
      <w:lvlText w:val=""/>
      <w:lvlJc w:val="left"/>
      <w:pPr>
        <w:ind w:left="720" w:hanging="360"/>
      </w:pPr>
      <w:rPr>
        <w:rFonts w:ascii="Symbol" w:hAnsi="Symbol" w:hint="default"/>
        <w:color w:val="0066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E6C46"/>
    <w:multiLevelType w:val="hybridMultilevel"/>
    <w:tmpl w:val="F3D82F62"/>
    <w:lvl w:ilvl="0" w:tplc="CD329B64">
      <w:start w:val="1"/>
      <w:numFmt w:val="bullet"/>
      <w:lvlText w:val=""/>
      <w:lvlJc w:val="left"/>
      <w:pPr>
        <w:ind w:left="720" w:hanging="360"/>
      </w:pPr>
      <w:rPr>
        <w:rFonts w:ascii="Symbol" w:hAnsi="Symbol" w:hint="default"/>
        <w:color w:val="0066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BC49B6"/>
    <w:multiLevelType w:val="hybridMultilevel"/>
    <w:tmpl w:val="A43C1D1E"/>
    <w:lvl w:ilvl="0" w:tplc="134004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4"/>
  </w:num>
  <w:num w:numId="2">
    <w:abstractNumId w:val="33"/>
  </w:num>
  <w:num w:numId="3">
    <w:abstractNumId w:val="24"/>
  </w:num>
  <w:num w:numId="4">
    <w:abstractNumId w:val="12"/>
  </w:num>
  <w:num w:numId="5">
    <w:abstractNumId w:val="9"/>
  </w:num>
  <w:num w:numId="6">
    <w:abstractNumId w:val="7"/>
  </w:num>
  <w:num w:numId="7">
    <w:abstractNumId w:val="13"/>
  </w:num>
  <w:num w:numId="8">
    <w:abstractNumId w:val="25"/>
  </w:num>
  <w:num w:numId="9">
    <w:abstractNumId w:val="21"/>
  </w:num>
  <w:num w:numId="10">
    <w:abstractNumId w:val="30"/>
  </w:num>
  <w:num w:numId="11">
    <w:abstractNumId w:val="27"/>
  </w:num>
  <w:num w:numId="12">
    <w:abstractNumId w:val="14"/>
  </w:num>
  <w:num w:numId="13">
    <w:abstractNumId w:val="19"/>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20"/>
  </w:num>
  <w:num w:numId="24">
    <w:abstractNumId w:val="15"/>
  </w:num>
  <w:num w:numId="25">
    <w:abstractNumId w:val="17"/>
  </w:num>
  <w:num w:numId="26">
    <w:abstractNumId w:val="18"/>
  </w:num>
  <w:num w:numId="27">
    <w:abstractNumId w:val="16"/>
  </w:num>
  <w:num w:numId="28">
    <w:abstractNumId w:val="22"/>
  </w:num>
  <w:num w:numId="29">
    <w:abstractNumId w:val="26"/>
  </w:num>
  <w:num w:numId="30">
    <w:abstractNumId w:val="29"/>
  </w:num>
  <w:num w:numId="31">
    <w:abstractNumId w:val="35"/>
  </w:num>
  <w:num w:numId="32">
    <w:abstractNumId w:val="32"/>
  </w:num>
  <w:num w:numId="33">
    <w:abstractNumId w:val="11"/>
  </w:num>
  <w:num w:numId="34">
    <w:abstractNumId w:val="23"/>
  </w:num>
  <w:num w:numId="35">
    <w:abstractNumId w:val="31"/>
  </w:num>
  <w:num w:numId="36">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79D"/>
    <w:rsid w:val="00003026"/>
    <w:rsid w:val="00007A98"/>
    <w:rsid w:val="000122E9"/>
    <w:rsid w:val="000126EB"/>
    <w:rsid w:val="0002583E"/>
    <w:rsid w:val="00030650"/>
    <w:rsid w:val="000528CF"/>
    <w:rsid w:val="00052DE1"/>
    <w:rsid w:val="00053EA8"/>
    <w:rsid w:val="00061E68"/>
    <w:rsid w:val="00062780"/>
    <w:rsid w:val="000708B4"/>
    <w:rsid w:val="00080DC2"/>
    <w:rsid w:val="00082EFA"/>
    <w:rsid w:val="00084853"/>
    <w:rsid w:val="00086D18"/>
    <w:rsid w:val="000925F7"/>
    <w:rsid w:val="00092A4C"/>
    <w:rsid w:val="000932E7"/>
    <w:rsid w:val="000963BA"/>
    <w:rsid w:val="000976D5"/>
    <w:rsid w:val="000A4BF7"/>
    <w:rsid w:val="000B4C26"/>
    <w:rsid w:val="000B5FEA"/>
    <w:rsid w:val="000C03B0"/>
    <w:rsid w:val="000C5652"/>
    <w:rsid w:val="000D2473"/>
    <w:rsid w:val="000E1CD4"/>
    <w:rsid w:val="000E2F2D"/>
    <w:rsid w:val="000E4985"/>
    <w:rsid w:val="000E77F0"/>
    <w:rsid w:val="000F1E1B"/>
    <w:rsid w:val="000F4F5B"/>
    <w:rsid w:val="001001C0"/>
    <w:rsid w:val="00102642"/>
    <w:rsid w:val="001042C1"/>
    <w:rsid w:val="00107552"/>
    <w:rsid w:val="001076F0"/>
    <w:rsid w:val="00114B0E"/>
    <w:rsid w:val="00115E12"/>
    <w:rsid w:val="00126860"/>
    <w:rsid w:val="00130581"/>
    <w:rsid w:val="00133CE4"/>
    <w:rsid w:val="00134763"/>
    <w:rsid w:val="00134BC1"/>
    <w:rsid w:val="00136B9F"/>
    <w:rsid w:val="00143145"/>
    <w:rsid w:val="00145122"/>
    <w:rsid w:val="00145368"/>
    <w:rsid w:val="00171991"/>
    <w:rsid w:val="0017523E"/>
    <w:rsid w:val="00177CCB"/>
    <w:rsid w:val="00180D19"/>
    <w:rsid w:val="00183033"/>
    <w:rsid w:val="00187263"/>
    <w:rsid w:val="00196393"/>
    <w:rsid w:val="001A624C"/>
    <w:rsid w:val="001A7ADD"/>
    <w:rsid w:val="001B0305"/>
    <w:rsid w:val="001B116E"/>
    <w:rsid w:val="001B3BFE"/>
    <w:rsid w:val="001B6E0E"/>
    <w:rsid w:val="001C33BC"/>
    <w:rsid w:val="001C3BAB"/>
    <w:rsid w:val="001C6841"/>
    <w:rsid w:val="001D44DB"/>
    <w:rsid w:val="001D7486"/>
    <w:rsid w:val="001E7E5E"/>
    <w:rsid w:val="001F0B7C"/>
    <w:rsid w:val="001F6E26"/>
    <w:rsid w:val="00202AE9"/>
    <w:rsid w:val="00207010"/>
    <w:rsid w:val="00220E79"/>
    <w:rsid w:val="0022145E"/>
    <w:rsid w:val="002215A2"/>
    <w:rsid w:val="0023125F"/>
    <w:rsid w:val="002336B8"/>
    <w:rsid w:val="002420D1"/>
    <w:rsid w:val="00242EFD"/>
    <w:rsid w:val="002450A0"/>
    <w:rsid w:val="0025224A"/>
    <w:rsid w:val="00255F24"/>
    <w:rsid w:val="00264141"/>
    <w:rsid w:val="00272EF0"/>
    <w:rsid w:val="0027746F"/>
    <w:rsid w:val="0028089B"/>
    <w:rsid w:val="002817FB"/>
    <w:rsid w:val="00297767"/>
    <w:rsid w:val="002A0399"/>
    <w:rsid w:val="002A4BBE"/>
    <w:rsid w:val="002B6DAA"/>
    <w:rsid w:val="002C1E63"/>
    <w:rsid w:val="002C2EAF"/>
    <w:rsid w:val="002C727B"/>
    <w:rsid w:val="002D0572"/>
    <w:rsid w:val="002D05E8"/>
    <w:rsid w:val="002D1FD8"/>
    <w:rsid w:val="002D78C6"/>
    <w:rsid w:val="002E0D54"/>
    <w:rsid w:val="002F5BF8"/>
    <w:rsid w:val="00303C4C"/>
    <w:rsid w:val="003228D9"/>
    <w:rsid w:val="0032492E"/>
    <w:rsid w:val="00333530"/>
    <w:rsid w:val="00335334"/>
    <w:rsid w:val="00343031"/>
    <w:rsid w:val="00347A8D"/>
    <w:rsid w:val="00350363"/>
    <w:rsid w:val="00354BFC"/>
    <w:rsid w:val="0036624B"/>
    <w:rsid w:val="00370903"/>
    <w:rsid w:val="00373502"/>
    <w:rsid w:val="00374B3E"/>
    <w:rsid w:val="003826C0"/>
    <w:rsid w:val="0038529C"/>
    <w:rsid w:val="00391C55"/>
    <w:rsid w:val="00392662"/>
    <w:rsid w:val="00393164"/>
    <w:rsid w:val="00395510"/>
    <w:rsid w:val="003A1CA3"/>
    <w:rsid w:val="003A20E5"/>
    <w:rsid w:val="003A4C4D"/>
    <w:rsid w:val="003A6B27"/>
    <w:rsid w:val="003B6F40"/>
    <w:rsid w:val="003D3BB8"/>
    <w:rsid w:val="003D3C12"/>
    <w:rsid w:val="003F350F"/>
    <w:rsid w:val="003F3E5C"/>
    <w:rsid w:val="00407AAA"/>
    <w:rsid w:val="00410336"/>
    <w:rsid w:val="00414B62"/>
    <w:rsid w:val="004155B9"/>
    <w:rsid w:val="0042179D"/>
    <w:rsid w:val="00422B04"/>
    <w:rsid w:val="00425C5D"/>
    <w:rsid w:val="004335A3"/>
    <w:rsid w:val="00437268"/>
    <w:rsid w:val="0044102E"/>
    <w:rsid w:val="00456AF9"/>
    <w:rsid w:val="00462330"/>
    <w:rsid w:val="0046410D"/>
    <w:rsid w:val="004724A4"/>
    <w:rsid w:val="0047250B"/>
    <w:rsid w:val="00492D02"/>
    <w:rsid w:val="0049373A"/>
    <w:rsid w:val="00493BBE"/>
    <w:rsid w:val="00496B1C"/>
    <w:rsid w:val="00496C0B"/>
    <w:rsid w:val="004A1225"/>
    <w:rsid w:val="004B04B1"/>
    <w:rsid w:val="004C56F7"/>
    <w:rsid w:val="004C7D65"/>
    <w:rsid w:val="004D0204"/>
    <w:rsid w:val="004D0796"/>
    <w:rsid w:val="004D1D1B"/>
    <w:rsid w:val="004D1F79"/>
    <w:rsid w:val="004D378D"/>
    <w:rsid w:val="004D3B1A"/>
    <w:rsid w:val="004D6D52"/>
    <w:rsid w:val="004E4A3A"/>
    <w:rsid w:val="004E787E"/>
    <w:rsid w:val="004F1531"/>
    <w:rsid w:val="004F45D0"/>
    <w:rsid w:val="005076DD"/>
    <w:rsid w:val="0051782E"/>
    <w:rsid w:val="00522B60"/>
    <w:rsid w:val="00524DB0"/>
    <w:rsid w:val="00533593"/>
    <w:rsid w:val="005364B2"/>
    <w:rsid w:val="00542A13"/>
    <w:rsid w:val="005613F9"/>
    <w:rsid w:val="00564D1A"/>
    <w:rsid w:val="00567DF4"/>
    <w:rsid w:val="005725F0"/>
    <w:rsid w:val="00573AD0"/>
    <w:rsid w:val="00577AC0"/>
    <w:rsid w:val="005812B0"/>
    <w:rsid w:val="0058183C"/>
    <w:rsid w:val="00582379"/>
    <w:rsid w:val="00587718"/>
    <w:rsid w:val="00592AFD"/>
    <w:rsid w:val="005939D9"/>
    <w:rsid w:val="0059413B"/>
    <w:rsid w:val="00594E18"/>
    <w:rsid w:val="005A315C"/>
    <w:rsid w:val="005A4D18"/>
    <w:rsid w:val="005A6093"/>
    <w:rsid w:val="005B0577"/>
    <w:rsid w:val="005B382D"/>
    <w:rsid w:val="005C330B"/>
    <w:rsid w:val="005D48C3"/>
    <w:rsid w:val="005D4FDE"/>
    <w:rsid w:val="005D5713"/>
    <w:rsid w:val="005D6183"/>
    <w:rsid w:val="005D7286"/>
    <w:rsid w:val="005F6E08"/>
    <w:rsid w:val="005F78BC"/>
    <w:rsid w:val="005F7B5C"/>
    <w:rsid w:val="0060201D"/>
    <w:rsid w:val="00603CF6"/>
    <w:rsid w:val="00603D51"/>
    <w:rsid w:val="00606D79"/>
    <w:rsid w:val="00616F44"/>
    <w:rsid w:val="00625027"/>
    <w:rsid w:val="00625B4B"/>
    <w:rsid w:val="006266BE"/>
    <w:rsid w:val="00626CB5"/>
    <w:rsid w:val="0063226D"/>
    <w:rsid w:val="00640F92"/>
    <w:rsid w:val="00644200"/>
    <w:rsid w:val="00654AA6"/>
    <w:rsid w:val="006622ED"/>
    <w:rsid w:val="00664C07"/>
    <w:rsid w:val="006732EB"/>
    <w:rsid w:val="0069078A"/>
    <w:rsid w:val="006A0582"/>
    <w:rsid w:val="006A11E5"/>
    <w:rsid w:val="006A3953"/>
    <w:rsid w:val="006A4471"/>
    <w:rsid w:val="006A6A3C"/>
    <w:rsid w:val="006B40F6"/>
    <w:rsid w:val="006B5A16"/>
    <w:rsid w:val="006B5EA8"/>
    <w:rsid w:val="006B779A"/>
    <w:rsid w:val="006E2C99"/>
    <w:rsid w:val="006E452A"/>
    <w:rsid w:val="006E50D4"/>
    <w:rsid w:val="006F0021"/>
    <w:rsid w:val="006F54BB"/>
    <w:rsid w:val="00701B0D"/>
    <w:rsid w:val="00716696"/>
    <w:rsid w:val="007204F6"/>
    <w:rsid w:val="0073399B"/>
    <w:rsid w:val="00736B62"/>
    <w:rsid w:val="007479CD"/>
    <w:rsid w:val="0075008A"/>
    <w:rsid w:val="00756AF2"/>
    <w:rsid w:val="007573FD"/>
    <w:rsid w:val="00760511"/>
    <w:rsid w:val="0076118A"/>
    <w:rsid w:val="00773044"/>
    <w:rsid w:val="00783D33"/>
    <w:rsid w:val="007934C1"/>
    <w:rsid w:val="007A099A"/>
    <w:rsid w:val="007A1602"/>
    <w:rsid w:val="007A33EC"/>
    <w:rsid w:val="007A6F93"/>
    <w:rsid w:val="007B39E4"/>
    <w:rsid w:val="007B73F2"/>
    <w:rsid w:val="007C04B1"/>
    <w:rsid w:val="007C2EEA"/>
    <w:rsid w:val="007E1B7E"/>
    <w:rsid w:val="007F0842"/>
    <w:rsid w:val="007F32D1"/>
    <w:rsid w:val="007F5052"/>
    <w:rsid w:val="00811F31"/>
    <w:rsid w:val="008133B7"/>
    <w:rsid w:val="008135F7"/>
    <w:rsid w:val="008145F4"/>
    <w:rsid w:val="0082022A"/>
    <w:rsid w:val="008211E6"/>
    <w:rsid w:val="008239E5"/>
    <w:rsid w:val="00826D76"/>
    <w:rsid w:val="00833A68"/>
    <w:rsid w:val="00842723"/>
    <w:rsid w:val="0084594E"/>
    <w:rsid w:val="00846A07"/>
    <w:rsid w:val="00861B60"/>
    <w:rsid w:val="008746D1"/>
    <w:rsid w:val="00876931"/>
    <w:rsid w:val="0088518A"/>
    <w:rsid w:val="0088738F"/>
    <w:rsid w:val="008879B5"/>
    <w:rsid w:val="00891507"/>
    <w:rsid w:val="008937E8"/>
    <w:rsid w:val="0089607B"/>
    <w:rsid w:val="008B629A"/>
    <w:rsid w:val="008B6795"/>
    <w:rsid w:val="008C1CB6"/>
    <w:rsid w:val="008C3892"/>
    <w:rsid w:val="008E1518"/>
    <w:rsid w:val="008E20C7"/>
    <w:rsid w:val="008E318D"/>
    <w:rsid w:val="008E35BD"/>
    <w:rsid w:val="008E35C3"/>
    <w:rsid w:val="008E7B7A"/>
    <w:rsid w:val="008F618B"/>
    <w:rsid w:val="009017A0"/>
    <w:rsid w:val="00902FBF"/>
    <w:rsid w:val="00910C92"/>
    <w:rsid w:val="00912005"/>
    <w:rsid w:val="009121E1"/>
    <w:rsid w:val="00920D8D"/>
    <w:rsid w:val="00922E87"/>
    <w:rsid w:val="00927913"/>
    <w:rsid w:val="00940519"/>
    <w:rsid w:val="00940978"/>
    <w:rsid w:val="00943268"/>
    <w:rsid w:val="00947F45"/>
    <w:rsid w:val="0095446A"/>
    <w:rsid w:val="00970728"/>
    <w:rsid w:val="0097470F"/>
    <w:rsid w:val="00980155"/>
    <w:rsid w:val="00984272"/>
    <w:rsid w:val="00985E50"/>
    <w:rsid w:val="00986612"/>
    <w:rsid w:val="009947C5"/>
    <w:rsid w:val="009969E0"/>
    <w:rsid w:val="009A7D54"/>
    <w:rsid w:val="009B21B6"/>
    <w:rsid w:val="009B39FE"/>
    <w:rsid w:val="009B5D4B"/>
    <w:rsid w:val="009C2820"/>
    <w:rsid w:val="009C52B5"/>
    <w:rsid w:val="009C54B4"/>
    <w:rsid w:val="009D3842"/>
    <w:rsid w:val="009F3E4B"/>
    <w:rsid w:val="009F411C"/>
    <w:rsid w:val="009F774C"/>
    <w:rsid w:val="00A00B27"/>
    <w:rsid w:val="00A039D7"/>
    <w:rsid w:val="00A16B05"/>
    <w:rsid w:val="00A24F7E"/>
    <w:rsid w:val="00A271C7"/>
    <w:rsid w:val="00A3665E"/>
    <w:rsid w:val="00A45FAF"/>
    <w:rsid w:val="00A5527E"/>
    <w:rsid w:val="00A57EA6"/>
    <w:rsid w:val="00A66B1E"/>
    <w:rsid w:val="00A855C0"/>
    <w:rsid w:val="00A90FA0"/>
    <w:rsid w:val="00A92343"/>
    <w:rsid w:val="00A9565C"/>
    <w:rsid w:val="00A95DBE"/>
    <w:rsid w:val="00AA0583"/>
    <w:rsid w:val="00AB20DB"/>
    <w:rsid w:val="00AC7A22"/>
    <w:rsid w:val="00AE609B"/>
    <w:rsid w:val="00AE7478"/>
    <w:rsid w:val="00AF26CB"/>
    <w:rsid w:val="00AF4145"/>
    <w:rsid w:val="00B06AD1"/>
    <w:rsid w:val="00B13EA3"/>
    <w:rsid w:val="00B228AE"/>
    <w:rsid w:val="00B23242"/>
    <w:rsid w:val="00B26104"/>
    <w:rsid w:val="00B475AF"/>
    <w:rsid w:val="00B51040"/>
    <w:rsid w:val="00B52440"/>
    <w:rsid w:val="00B617D7"/>
    <w:rsid w:val="00B6679F"/>
    <w:rsid w:val="00B7324D"/>
    <w:rsid w:val="00B74009"/>
    <w:rsid w:val="00B75FD5"/>
    <w:rsid w:val="00B7727D"/>
    <w:rsid w:val="00B77D40"/>
    <w:rsid w:val="00BA0A18"/>
    <w:rsid w:val="00BB24AF"/>
    <w:rsid w:val="00BB51F4"/>
    <w:rsid w:val="00BD461C"/>
    <w:rsid w:val="00BE3D97"/>
    <w:rsid w:val="00BE43D7"/>
    <w:rsid w:val="00BF112C"/>
    <w:rsid w:val="00BF2699"/>
    <w:rsid w:val="00BF7981"/>
    <w:rsid w:val="00BF7C0A"/>
    <w:rsid w:val="00C103AD"/>
    <w:rsid w:val="00C11673"/>
    <w:rsid w:val="00C12623"/>
    <w:rsid w:val="00C13A5C"/>
    <w:rsid w:val="00C152B8"/>
    <w:rsid w:val="00C22848"/>
    <w:rsid w:val="00C25AF9"/>
    <w:rsid w:val="00C332CB"/>
    <w:rsid w:val="00C44D95"/>
    <w:rsid w:val="00C553D0"/>
    <w:rsid w:val="00C60561"/>
    <w:rsid w:val="00C60E4F"/>
    <w:rsid w:val="00C63C09"/>
    <w:rsid w:val="00C64C06"/>
    <w:rsid w:val="00C65C7D"/>
    <w:rsid w:val="00C67CAE"/>
    <w:rsid w:val="00C717BD"/>
    <w:rsid w:val="00C71C0B"/>
    <w:rsid w:val="00C76B2A"/>
    <w:rsid w:val="00C81E9A"/>
    <w:rsid w:val="00C82696"/>
    <w:rsid w:val="00C834A5"/>
    <w:rsid w:val="00C9650F"/>
    <w:rsid w:val="00CA6EC1"/>
    <w:rsid w:val="00CB1A6D"/>
    <w:rsid w:val="00CB1B5E"/>
    <w:rsid w:val="00CB26F1"/>
    <w:rsid w:val="00CC135C"/>
    <w:rsid w:val="00CC2E6E"/>
    <w:rsid w:val="00CC5895"/>
    <w:rsid w:val="00CD78B3"/>
    <w:rsid w:val="00CE1BED"/>
    <w:rsid w:val="00CE6A77"/>
    <w:rsid w:val="00CF13A7"/>
    <w:rsid w:val="00CF2F49"/>
    <w:rsid w:val="00CF693E"/>
    <w:rsid w:val="00CF779D"/>
    <w:rsid w:val="00D0276A"/>
    <w:rsid w:val="00D04C98"/>
    <w:rsid w:val="00D161A6"/>
    <w:rsid w:val="00D272BB"/>
    <w:rsid w:val="00D32406"/>
    <w:rsid w:val="00D42D39"/>
    <w:rsid w:val="00D469F9"/>
    <w:rsid w:val="00D507C2"/>
    <w:rsid w:val="00D50885"/>
    <w:rsid w:val="00D57F81"/>
    <w:rsid w:val="00D727FA"/>
    <w:rsid w:val="00D77FE5"/>
    <w:rsid w:val="00D85996"/>
    <w:rsid w:val="00D9130D"/>
    <w:rsid w:val="00D92B3D"/>
    <w:rsid w:val="00DA2857"/>
    <w:rsid w:val="00DA2D1D"/>
    <w:rsid w:val="00DA54FB"/>
    <w:rsid w:val="00DB3118"/>
    <w:rsid w:val="00DB6075"/>
    <w:rsid w:val="00DC0A23"/>
    <w:rsid w:val="00DC2F72"/>
    <w:rsid w:val="00DD1BCF"/>
    <w:rsid w:val="00DF346B"/>
    <w:rsid w:val="00DF3863"/>
    <w:rsid w:val="00E05B39"/>
    <w:rsid w:val="00E05BF5"/>
    <w:rsid w:val="00E1161F"/>
    <w:rsid w:val="00E2623C"/>
    <w:rsid w:val="00E26963"/>
    <w:rsid w:val="00E300BB"/>
    <w:rsid w:val="00E360CB"/>
    <w:rsid w:val="00E43920"/>
    <w:rsid w:val="00E43B61"/>
    <w:rsid w:val="00E53EF3"/>
    <w:rsid w:val="00E5450B"/>
    <w:rsid w:val="00E54A01"/>
    <w:rsid w:val="00E55CF1"/>
    <w:rsid w:val="00E577DE"/>
    <w:rsid w:val="00E62653"/>
    <w:rsid w:val="00E65FEE"/>
    <w:rsid w:val="00E71681"/>
    <w:rsid w:val="00E716AF"/>
    <w:rsid w:val="00E769B6"/>
    <w:rsid w:val="00E848C8"/>
    <w:rsid w:val="00E955FE"/>
    <w:rsid w:val="00EA29F7"/>
    <w:rsid w:val="00EA5EB1"/>
    <w:rsid w:val="00EA6118"/>
    <w:rsid w:val="00EB42E6"/>
    <w:rsid w:val="00EB645E"/>
    <w:rsid w:val="00EB72F2"/>
    <w:rsid w:val="00EB7376"/>
    <w:rsid w:val="00EC2D28"/>
    <w:rsid w:val="00EC5860"/>
    <w:rsid w:val="00EC5BFE"/>
    <w:rsid w:val="00ED3C14"/>
    <w:rsid w:val="00EE7C71"/>
    <w:rsid w:val="00EF0D8B"/>
    <w:rsid w:val="00EF2CE7"/>
    <w:rsid w:val="00EF3B9B"/>
    <w:rsid w:val="00EF3DAE"/>
    <w:rsid w:val="00EF7A1C"/>
    <w:rsid w:val="00F0008F"/>
    <w:rsid w:val="00F02241"/>
    <w:rsid w:val="00F22AA6"/>
    <w:rsid w:val="00F22EB2"/>
    <w:rsid w:val="00F37E4E"/>
    <w:rsid w:val="00F41D21"/>
    <w:rsid w:val="00F75AFA"/>
    <w:rsid w:val="00F858E2"/>
    <w:rsid w:val="00F9274B"/>
    <w:rsid w:val="00F94932"/>
    <w:rsid w:val="00FA250A"/>
    <w:rsid w:val="00FA2CA9"/>
    <w:rsid w:val="00FA4D2D"/>
    <w:rsid w:val="00FB06DD"/>
    <w:rsid w:val="00FC0FDF"/>
    <w:rsid w:val="00FD431D"/>
    <w:rsid w:val="00FE49DF"/>
    <w:rsid w:val="00FF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286"/>
    <w:pPr>
      <w:spacing w:line="276" w:lineRule="auto"/>
    </w:pPr>
    <w:rPr>
      <w:rFonts w:ascii="Times New Roman" w:hAnsi="Times New Roman"/>
      <w:sz w:val="24"/>
      <w:szCs w:val="24"/>
    </w:rPr>
  </w:style>
  <w:style w:type="paragraph" w:styleId="Heading1">
    <w:name w:val="heading 1"/>
    <w:basedOn w:val="Normal"/>
    <w:next w:val="Normal"/>
    <w:link w:val="Heading1Char"/>
    <w:autoRedefine/>
    <w:qFormat/>
    <w:rsid w:val="00BE43D7"/>
    <w:pPr>
      <w:keepNext/>
      <w:keepLines/>
      <w:pBdr>
        <w:bottom w:val="single" w:sz="6" w:space="1" w:color="005293"/>
      </w:pBdr>
      <w:spacing w:after="360" w:line="240" w:lineRule="auto"/>
      <w:ind w:left="547" w:hanging="547"/>
      <w:outlineLvl w:val="0"/>
    </w:pPr>
    <w:rPr>
      <w:rFonts w:ascii="Arial Narrow" w:hAnsi="Arial Narrow"/>
      <w:b/>
      <w:bCs/>
      <w:caps/>
      <w:color w:val="005293"/>
      <w:sz w:val="28"/>
      <w:szCs w:val="28"/>
    </w:rPr>
  </w:style>
  <w:style w:type="paragraph" w:styleId="Heading2">
    <w:name w:val="heading 2"/>
    <w:basedOn w:val="Normal"/>
    <w:next w:val="Normal"/>
    <w:link w:val="Heading2Char"/>
    <w:autoRedefine/>
    <w:unhideWhenUsed/>
    <w:qFormat/>
    <w:rsid w:val="004A1225"/>
    <w:pPr>
      <w:keepNext/>
      <w:keepLines/>
      <w:spacing w:before="60" w:after="200" w:line="240" w:lineRule="auto"/>
      <w:ind w:left="547" w:hanging="547"/>
      <w:outlineLvl w:val="1"/>
    </w:pPr>
    <w:rPr>
      <w:rFonts w:ascii="Arial Narrow" w:hAnsi="Arial Narrow"/>
      <w:b/>
      <w:bCs/>
      <w:caps/>
      <w:color w:val="DC7D0E" w:themeColor="accent2" w:themeShade="BF"/>
      <w:szCs w:val="26"/>
    </w:rPr>
  </w:style>
  <w:style w:type="paragraph" w:styleId="Heading3">
    <w:name w:val="heading 3"/>
    <w:basedOn w:val="Normal"/>
    <w:next w:val="Normal"/>
    <w:link w:val="Heading3Char"/>
    <w:unhideWhenUsed/>
    <w:qFormat/>
    <w:rsid w:val="00533593"/>
    <w:pPr>
      <w:keepNext/>
      <w:keepLines/>
      <w:spacing w:after="120"/>
      <w:ind w:left="720" w:hanging="720"/>
      <w:outlineLvl w:val="2"/>
    </w:pPr>
    <w:rPr>
      <w:rFonts w:ascii="Arial Narrow" w:hAnsi="Arial Narrow"/>
      <w:bCs/>
      <w:color w:val="404040" w:themeColor="text1" w:themeTint="BF"/>
    </w:rPr>
  </w:style>
  <w:style w:type="paragraph" w:styleId="Heading4">
    <w:name w:val="heading 4"/>
    <w:basedOn w:val="Normal"/>
    <w:next w:val="Normal"/>
    <w:link w:val="Heading4Char"/>
    <w:unhideWhenUsed/>
    <w:qFormat/>
    <w:rsid w:val="0073399B"/>
    <w:pPr>
      <w:keepNext/>
      <w:keepLines/>
      <w:spacing w:before="60" w:after="240"/>
      <w:ind w:left="936" w:hanging="936"/>
      <w:outlineLvl w:val="3"/>
    </w:pPr>
    <w:rPr>
      <w:bCs/>
      <w:i/>
      <w:iCs/>
    </w:rPr>
  </w:style>
  <w:style w:type="paragraph" w:styleId="Heading5">
    <w:name w:val="heading 5"/>
    <w:basedOn w:val="Normal"/>
    <w:next w:val="Normal"/>
    <w:link w:val="Heading5Char"/>
    <w:unhideWhenUsed/>
    <w:rsid w:val="0073399B"/>
    <w:pPr>
      <w:keepNext/>
      <w:keepLines/>
      <w:spacing w:before="200"/>
      <w:outlineLvl w:val="4"/>
    </w:pPr>
    <w:rPr>
      <w:rFonts w:ascii="Cambria" w:hAnsi="Cambria"/>
      <w:color w:val="243F60"/>
    </w:rPr>
  </w:style>
  <w:style w:type="paragraph" w:styleId="Heading6">
    <w:name w:val="heading 6"/>
    <w:basedOn w:val="Normal"/>
    <w:next w:val="Normal"/>
    <w:link w:val="Heading6Char"/>
    <w:rsid w:val="009017A0"/>
    <w:pPr>
      <w:keepNext/>
      <w:spacing w:line="240" w:lineRule="auto"/>
      <w:jc w:val="center"/>
      <w:outlineLvl w:val="5"/>
    </w:pPr>
    <w:rPr>
      <w:b/>
      <w:sz w:val="28"/>
      <w:szCs w:val="20"/>
    </w:rPr>
  </w:style>
  <w:style w:type="paragraph" w:styleId="Heading7">
    <w:name w:val="heading 7"/>
    <w:basedOn w:val="Normal"/>
    <w:next w:val="Normal"/>
    <w:link w:val="Heading7Char"/>
    <w:rsid w:val="009017A0"/>
    <w:pPr>
      <w:keepNext/>
      <w:spacing w:line="240" w:lineRule="auto"/>
      <w:outlineLvl w:val="6"/>
    </w:pPr>
    <w:rPr>
      <w:b/>
      <w:i/>
      <w:sz w:val="20"/>
      <w:szCs w:val="20"/>
    </w:rPr>
  </w:style>
  <w:style w:type="paragraph" w:styleId="Heading8">
    <w:name w:val="heading 8"/>
    <w:basedOn w:val="Normal"/>
    <w:next w:val="Normal"/>
    <w:link w:val="Heading8Char"/>
    <w:rsid w:val="009017A0"/>
    <w:pPr>
      <w:keepNext/>
      <w:spacing w:line="240" w:lineRule="auto"/>
      <w:jc w:val="center"/>
      <w:outlineLvl w:val="7"/>
    </w:pPr>
    <w:rPr>
      <w:b/>
      <w:szCs w:val="20"/>
    </w:rPr>
  </w:style>
  <w:style w:type="paragraph" w:styleId="Heading9">
    <w:name w:val="heading 9"/>
    <w:basedOn w:val="Normal"/>
    <w:next w:val="Normal"/>
    <w:link w:val="Heading9Char"/>
    <w:rsid w:val="009017A0"/>
    <w:pPr>
      <w:keepNext/>
      <w:spacing w:line="240" w:lineRule="auto"/>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3D7"/>
    <w:rPr>
      <w:rFonts w:ascii="Arial Narrow" w:eastAsia="Times New Roman" w:hAnsi="Arial Narrow"/>
      <w:b/>
      <w:bCs/>
      <w:caps/>
      <w:color w:val="005293"/>
      <w:sz w:val="28"/>
      <w:szCs w:val="28"/>
    </w:rPr>
  </w:style>
  <w:style w:type="character" w:customStyle="1" w:styleId="Heading2Char">
    <w:name w:val="Heading 2 Char"/>
    <w:basedOn w:val="DefaultParagraphFont"/>
    <w:link w:val="Heading2"/>
    <w:rsid w:val="004A1225"/>
    <w:rPr>
      <w:rFonts w:ascii="Arial Narrow" w:hAnsi="Arial Narrow"/>
      <w:b/>
      <w:bCs/>
      <w:caps/>
      <w:color w:val="DC7D0E" w:themeColor="accent2" w:themeShade="BF"/>
      <w:sz w:val="24"/>
      <w:szCs w:val="26"/>
    </w:rPr>
  </w:style>
  <w:style w:type="character" w:customStyle="1" w:styleId="Heading5Char">
    <w:name w:val="Heading 5 Char"/>
    <w:basedOn w:val="DefaultParagraphFont"/>
    <w:link w:val="Heading5"/>
    <w:uiPriority w:val="9"/>
    <w:rsid w:val="0073399B"/>
    <w:rPr>
      <w:rFonts w:ascii="Cambria" w:eastAsia="Times New Roman" w:hAnsi="Cambria" w:cs="Times New Roman"/>
      <w:color w:val="243F60"/>
      <w:szCs w:val="24"/>
    </w:rPr>
  </w:style>
  <w:style w:type="character" w:customStyle="1" w:styleId="Heading3Char">
    <w:name w:val="Heading 3 Char"/>
    <w:basedOn w:val="DefaultParagraphFont"/>
    <w:link w:val="Heading3"/>
    <w:rsid w:val="00533593"/>
    <w:rPr>
      <w:rFonts w:ascii="Arial Narrow" w:eastAsia="Times New Roman" w:hAnsi="Arial Narrow"/>
      <w:bCs/>
      <w:color w:val="404040" w:themeColor="text1" w:themeTint="BF"/>
      <w:sz w:val="24"/>
      <w:szCs w:val="24"/>
    </w:rPr>
  </w:style>
  <w:style w:type="character" w:customStyle="1" w:styleId="Heading4Char">
    <w:name w:val="Heading 4 Char"/>
    <w:basedOn w:val="DefaultParagraphFont"/>
    <w:link w:val="Heading4"/>
    <w:uiPriority w:val="9"/>
    <w:rsid w:val="0073399B"/>
    <w:rPr>
      <w:rFonts w:ascii="Arial" w:eastAsia="Times New Roman" w:hAnsi="Arial" w:cs="Times New Roman"/>
      <w:bCs/>
      <w:i/>
      <w:iCs/>
      <w:szCs w:val="24"/>
    </w:rPr>
  </w:style>
  <w:style w:type="character" w:customStyle="1" w:styleId="Heading6Char">
    <w:name w:val="Heading 6 Char"/>
    <w:basedOn w:val="DefaultParagraphFont"/>
    <w:link w:val="Heading6"/>
    <w:rsid w:val="009017A0"/>
    <w:rPr>
      <w:rFonts w:ascii="Arial" w:eastAsia="Times New Roman" w:hAnsi="Arial" w:cs="Times New Roman"/>
      <w:b/>
      <w:sz w:val="28"/>
      <w:szCs w:val="20"/>
    </w:rPr>
  </w:style>
  <w:style w:type="character" w:customStyle="1" w:styleId="Heading7Char">
    <w:name w:val="Heading 7 Char"/>
    <w:basedOn w:val="DefaultParagraphFont"/>
    <w:link w:val="Heading7"/>
    <w:rsid w:val="009017A0"/>
    <w:rPr>
      <w:rFonts w:ascii="Arial" w:eastAsia="Times New Roman" w:hAnsi="Arial" w:cs="Times New Roman"/>
      <w:b/>
      <w:i/>
      <w:sz w:val="20"/>
      <w:szCs w:val="20"/>
    </w:rPr>
  </w:style>
  <w:style w:type="character" w:customStyle="1" w:styleId="Heading8Char">
    <w:name w:val="Heading 8 Char"/>
    <w:basedOn w:val="DefaultParagraphFont"/>
    <w:link w:val="Heading8"/>
    <w:rsid w:val="009017A0"/>
    <w:rPr>
      <w:rFonts w:ascii="Arial" w:eastAsia="Times New Roman" w:hAnsi="Arial" w:cs="Times New Roman"/>
      <w:b/>
      <w:szCs w:val="20"/>
    </w:rPr>
  </w:style>
  <w:style w:type="character" w:customStyle="1" w:styleId="Heading9Char">
    <w:name w:val="Heading 9 Char"/>
    <w:basedOn w:val="DefaultParagraphFont"/>
    <w:link w:val="Heading9"/>
    <w:rsid w:val="009017A0"/>
    <w:rPr>
      <w:rFonts w:ascii="Arial" w:eastAsia="Times New Roman" w:hAnsi="Arial" w:cs="Times New Roman"/>
      <w:b/>
      <w:sz w:val="24"/>
      <w:szCs w:val="24"/>
    </w:rPr>
  </w:style>
  <w:style w:type="paragraph" w:styleId="Header">
    <w:name w:val="header"/>
    <w:basedOn w:val="Normal"/>
    <w:link w:val="HeaderChar"/>
    <w:rsid w:val="009017A0"/>
    <w:pPr>
      <w:tabs>
        <w:tab w:val="center" w:pos="4320"/>
        <w:tab w:val="right" w:pos="8640"/>
      </w:tabs>
    </w:pPr>
  </w:style>
  <w:style w:type="character" w:customStyle="1" w:styleId="HeaderChar">
    <w:name w:val="Header Char"/>
    <w:basedOn w:val="DefaultParagraphFont"/>
    <w:link w:val="Header"/>
    <w:rsid w:val="009017A0"/>
    <w:rPr>
      <w:rFonts w:ascii="Arial" w:eastAsia="Times New Roman" w:hAnsi="Arial" w:cs="Times New Roman"/>
      <w:szCs w:val="24"/>
    </w:rPr>
  </w:style>
  <w:style w:type="paragraph" w:styleId="Footer">
    <w:name w:val="footer"/>
    <w:basedOn w:val="Normal"/>
    <w:link w:val="FooterChar"/>
    <w:uiPriority w:val="99"/>
    <w:rsid w:val="009017A0"/>
    <w:pPr>
      <w:tabs>
        <w:tab w:val="center" w:pos="4320"/>
        <w:tab w:val="right" w:pos="8640"/>
      </w:tabs>
    </w:pPr>
  </w:style>
  <w:style w:type="character" w:customStyle="1" w:styleId="FooterChar">
    <w:name w:val="Footer Char"/>
    <w:basedOn w:val="DefaultParagraphFont"/>
    <w:link w:val="Footer"/>
    <w:uiPriority w:val="99"/>
    <w:rsid w:val="009017A0"/>
    <w:rPr>
      <w:rFonts w:ascii="Arial" w:eastAsia="Times New Roman" w:hAnsi="Arial" w:cs="Times New Roman"/>
      <w:szCs w:val="24"/>
    </w:rPr>
  </w:style>
  <w:style w:type="paragraph" w:styleId="TOC1">
    <w:name w:val="toc 1"/>
    <w:basedOn w:val="Normal"/>
    <w:next w:val="Normal"/>
    <w:autoRedefine/>
    <w:uiPriority w:val="39"/>
    <w:rsid w:val="007C2EEA"/>
    <w:pPr>
      <w:tabs>
        <w:tab w:val="right" w:leader="dot" w:pos="9360"/>
      </w:tabs>
      <w:ind w:left="360" w:hanging="360"/>
    </w:pPr>
    <w:rPr>
      <w:rFonts w:ascii="Arial Narrow" w:hAnsi="Arial Narrow"/>
      <w:b/>
      <w:caps/>
      <w:noProof/>
      <w:color w:val="006B65"/>
      <w:sz w:val="22"/>
      <w:szCs w:val="22"/>
    </w:rPr>
  </w:style>
  <w:style w:type="paragraph" w:styleId="TOC2">
    <w:name w:val="toc 2"/>
    <w:basedOn w:val="Normal"/>
    <w:next w:val="Normal"/>
    <w:autoRedefine/>
    <w:uiPriority w:val="39"/>
    <w:rsid w:val="007C2EEA"/>
    <w:pPr>
      <w:tabs>
        <w:tab w:val="left" w:pos="720"/>
        <w:tab w:val="right" w:leader="dot" w:pos="9360"/>
      </w:tabs>
      <w:ind w:left="360"/>
    </w:pPr>
    <w:rPr>
      <w:rFonts w:ascii="Arial Narrow" w:hAnsi="Arial Narrow"/>
      <w:caps/>
      <w:noProof/>
      <w:sz w:val="22"/>
      <w:szCs w:val="22"/>
    </w:rPr>
  </w:style>
  <w:style w:type="paragraph" w:styleId="BodyTextIndent2">
    <w:name w:val="Body Text Indent 2"/>
    <w:basedOn w:val="Normal"/>
    <w:link w:val="BodyTextIndent2Char"/>
    <w:rsid w:val="009017A0"/>
    <w:pPr>
      <w:spacing w:line="240" w:lineRule="auto"/>
      <w:ind w:left="1440" w:hanging="1440"/>
    </w:pPr>
    <w:rPr>
      <w:sz w:val="20"/>
      <w:szCs w:val="20"/>
    </w:rPr>
  </w:style>
  <w:style w:type="character" w:customStyle="1" w:styleId="BodyTextIndent2Char">
    <w:name w:val="Body Text Indent 2 Char"/>
    <w:basedOn w:val="DefaultParagraphFont"/>
    <w:link w:val="BodyTextIndent2"/>
    <w:rsid w:val="009017A0"/>
    <w:rPr>
      <w:rFonts w:ascii="Arial" w:eastAsia="Times New Roman" w:hAnsi="Arial" w:cs="Times New Roman"/>
      <w:sz w:val="20"/>
      <w:szCs w:val="20"/>
    </w:rPr>
  </w:style>
  <w:style w:type="paragraph" w:styleId="BodyText">
    <w:name w:val="Body Text"/>
    <w:basedOn w:val="Normal"/>
    <w:link w:val="BodyTextChar"/>
    <w:rsid w:val="009017A0"/>
    <w:rPr>
      <w:i/>
      <w:szCs w:val="20"/>
    </w:rPr>
  </w:style>
  <w:style w:type="character" w:customStyle="1" w:styleId="BodyTextChar">
    <w:name w:val="Body Text Char"/>
    <w:basedOn w:val="DefaultParagraphFont"/>
    <w:link w:val="BodyText"/>
    <w:rsid w:val="009017A0"/>
    <w:rPr>
      <w:rFonts w:ascii="Arial" w:eastAsia="Times New Roman" w:hAnsi="Arial" w:cs="Times New Roman"/>
      <w:i/>
      <w:szCs w:val="20"/>
    </w:rPr>
  </w:style>
  <w:style w:type="paragraph" w:styleId="BodyTextIndent3">
    <w:name w:val="Body Text Indent 3"/>
    <w:basedOn w:val="Normal"/>
    <w:link w:val="BodyTextIndent3Char"/>
    <w:rsid w:val="009017A0"/>
    <w:pPr>
      <w:ind w:left="720"/>
    </w:pPr>
    <w:rPr>
      <w:szCs w:val="20"/>
    </w:rPr>
  </w:style>
  <w:style w:type="character" w:customStyle="1" w:styleId="BodyTextIndent3Char">
    <w:name w:val="Body Text Indent 3 Char"/>
    <w:basedOn w:val="DefaultParagraphFont"/>
    <w:link w:val="BodyTextIndent3"/>
    <w:rsid w:val="009017A0"/>
    <w:rPr>
      <w:rFonts w:ascii="Arial" w:eastAsia="Times New Roman" w:hAnsi="Arial" w:cs="Times New Roman"/>
      <w:szCs w:val="20"/>
    </w:rPr>
  </w:style>
  <w:style w:type="paragraph" w:styleId="BodyTextIndent">
    <w:name w:val="Body Text Indent"/>
    <w:basedOn w:val="Normal"/>
    <w:link w:val="BodyTextIndentChar"/>
    <w:rsid w:val="009017A0"/>
    <w:pPr>
      <w:ind w:left="360"/>
    </w:pPr>
    <w:rPr>
      <w:szCs w:val="20"/>
    </w:rPr>
  </w:style>
  <w:style w:type="character" w:customStyle="1" w:styleId="BodyTextIndentChar">
    <w:name w:val="Body Text Indent Char"/>
    <w:basedOn w:val="DefaultParagraphFont"/>
    <w:link w:val="BodyTextIndent"/>
    <w:rsid w:val="009017A0"/>
    <w:rPr>
      <w:rFonts w:ascii="Arial" w:eastAsia="Times New Roman" w:hAnsi="Arial" w:cs="Times New Roman"/>
      <w:szCs w:val="20"/>
    </w:rPr>
  </w:style>
  <w:style w:type="paragraph" w:styleId="BodyText3">
    <w:name w:val="Body Text 3"/>
    <w:basedOn w:val="Normal"/>
    <w:link w:val="BodyText3Char"/>
    <w:rsid w:val="009017A0"/>
    <w:pPr>
      <w:spacing w:line="240" w:lineRule="auto"/>
    </w:pPr>
    <w:rPr>
      <w:b/>
      <w:szCs w:val="20"/>
    </w:rPr>
  </w:style>
  <w:style w:type="character" w:customStyle="1" w:styleId="BodyText3Char">
    <w:name w:val="Body Text 3 Char"/>
    <w:basedOn w:val="DefaultParagraphFont"/>
    <w:link w:val="BodyText3"/>
    <w:rsid w:val="009017A0"/>
    <w:rPr>
      <w:rFonts w:ascii="Arial" w:eastAsia="Times New Roman" w:hAnsi="Arial" w:cs="Times New Roman"/>
      <w:b/>
      <w:szCs w:val="20"/>
    </w:rPr>
  </w:style>
  <w:style w:type="paragraph" w:styleId="BodyText2">
    <w:name w:val="Body Text 2"/>
    <w:basedOn w:val="Normal"/>
    <w:link w:val="BodyText2Char"/>
    <w:rsid w:val="009017A0"/>
    <w:rPr>
      <w:i/>
      <w:iCs/>
      <w:color w:val="FF0000"/>
    </w:rPr>
  </w:style>
  <w:style w:type="character" w:customStyle="1" w:styleId="BodyText2Char">
    <w:name w:val="Body Text 2 Char"/>
    <w:basedOn w:val="DefaultParagraphFont"/>
    <w:link w:val="BodyText2"/>
    <w:rsid w:val="009017A0"/>
    <w:rPr>
      <w:rFonts w:ascii="Arial" w:eastAsia="Times New Roman" w:hAnsi="Arial" w:cs="Times New Roman"/>
      <w:i/>
      <w:iCs/>
      <w:color w:val="FF0000"/>
      <w:szCs w:val="24"/>
    </w:rPr>
  </w:style>
  <w:style w:type="paragraph" w:customStyle="1" w:styleId="Default">
    <w:name w:val="Default"/>
    <w:basedOn w:val="Normal"/>
    <w:rsid w:val="009017A0"/>
    <w:pPr>
      <w:tabs>
        <w:tab w:val="left" w:pos="1080"/>
        <w:tab w:val="left" w:pos="8639"/>
      </w:tabs>
      <w:spacing w:line="480" w:lineRule="atLeast"/>
    </w:pPr>
    <w:rPr>
      <w:noProof/>
      <w:szCs w:val="20"/>
    </w:rPr>
  </w:style>
  <w:style w:type="paragraph" w:styleId="FootnoteText">
    <w:name w:val="footnote text"/>
    <w:basedOn w:val="Normal"/>
    <w:link w:val="FootnoteTextChar"/>
    <w:semiHidden/>
    <w:rsid w:val="009017A0"/>
    <w:pPr>
      <w:spacing w:line="360" w:lineRule="atLeast"/>
    </w:pPr>
    <w:rPr>
      <w:szCs w:val="20"/>
    </w:rPr>
  </w:style>
  <w:style w:type="character" w:customStyle="1" w:styleId="FootnoteTextChar">
    <w:name w:val="Footnote Text Char"/>
    <w:basedOn w:val="DefaultParagraphFont"/>
    <w:link w:val="FootnoteText"/>
    <w:semiHidden/>
    <w:rsid w:val="009017A0"/>
    <w:rPr>
      <w:rFonts w:ascii="Arial" w:eastAsia="Times New Roman" w:hAnsi="Arial" w:cs="Times New Roman"/>
      <w:szCs w:val="20"/>
    </w:rPr>
  </w:style>
  <w:style w:type="paragraph" w:customStyle="1" w:styleId="Times">
    <w:name w:val="Times"/>
    <w:rsid w:val="009017A0"/>
    <w:rPr>
      <w:rFonts w:ascii="Helvetica" w:hAnsi="Helvetica"/>
      <w:noProof/>
    </w:rPr>
  </w:style>
  <w:style w:type="character" w:styleId="Hyperlink">
    <w:name w:val="Hyperlink"/>
    <w:basedOn w:val="DefaultParagraphFont"/>
    <w:uiPriority w:val="99"/>
    <w:rsid w:val="009017A0"/>
    <w:rPr>
      <w:color w:val="0000FF"/>
      <w:u w:val="single"/>
    </w:rPr>
  </w:style>
  <w:style w:type="paragraph" w:customStyle="1" w:styleId="Style1">
    <w:name w:val="Style1"/>
    <w:basedOn w:val="TOC1"/>
    <w:rsid w:val="009017A0"/>
  </w:style>
  <w:style w:type="character" w:styleId="FollowedHyperlink">
    <w:name w:val="FollowedHyperlink"/>
    <w:basedOn w:val="DefaultParagraphFont"/>
    <w:rsid w:val="009017A0"/>
    <w:rPr>
      <w:color w:val="800080"/>
      <w:u w:val="single"/>
    </w:rPr>
  </w:style>
  <w:style w:type="paragraph" w:customStyle="1" w:styleId="Heading2BoldNotItalicAllcaps">
    <w:name w:val="Heading 2 + Bold Not Italic All caps"/>
    <w:basedOn w:val="Heading2"/>
    <w:next w:val="Heading2"/>
    <w:rsid w:val="009017A0"/>
    <w:pPr>
      <w:keepLines w:val="0"/>
      <w:widowControl w:val="0"/>
    </w:pPr>
    <w:rPr>
      <w:rFonts w:ascii="Arial Bold" w:hAnsi="Arial Bold"/>
      <w:snapToGrid w:val="0"/>
      <w:szCs w:val="20"/>
    </w:rPr>
  </w:style>
  <w:style w:type="paragraph" w:customStyle="1" w:styleId="AppendixTitle">
    <w:name w:val="Appendix Title"/>
    <w:basedOn w:val="Heading1"/>
    <w:rsid w:val="009017A0"/>
    <w:pPr>
      <w:keepLines w:val="0"/>
    </w:pPr>
    <w:rPr>
      <w:rFonts w:ascii="Arial Bold" w:hAnsi="Arial Bold"/>
      <w:bCs w:val="0"/>
      <w:iCs/>
    </w:rPr>
  </w:style>
  <w:style w:type="character" w:styleId="Strong">
    <w:name w:val="Strong"/>
    <w:basedOn w:val="DefaultParagraphFont"/>
    <w:rsid w:val="009017A0"/>
    <w:rPr>
      <w:b/>
      <w:bCs/>
    </w:rPr>
  </w:style>
  <w:style w:type="character" w:styleId="PageNumber">
    <w:name w:val="page number"/>
    <w:basedOn w:val="DefaultParagraphFont"/>
    <w:rsid w:val="009017A0"/>
  </w:style>
  <w:style w:type="paragraph" w:styleId="BalloonText">
    <w:name w:val="Balloon Text"/>
    <w:basedOn w:val="Normal"/>
    <w:link w:val="BalloonTextChar"/>
    <w:semiHidden/>
    <w:rsid w:val="009017A0"/>
    <w:rPr>
      <w:rFonts w:ascii="Tahoma" w:hAnsi="Tahoma" w:cs="Tahoma"/>
      <w:sz w:val="16"/>
      <w:szCs w:val="16"/>
    </w:rPr>
  </w:style>
  <w:style w:type="character" w:customStyle="1" w:styleId="BalloonTextChar">
    <w:name w:val="Balloon Text Char"/>
    <w:basedOn w:val="DefaultParagraphFont"/>
    <w:link w:val="BalloonText"/>
    <w:semiHidden/>
    <w:rsid w:val="009017A0"/>
    <w:rPr>
      <w:rFonts w:ascii="Tahoma" w:eastAsia="Times New Roman" w:hAnsi="Tahoma" w:cs="Tahoma"/>
      <w:sz w:val="16"/>
      <w:szCs w:val="16"/>
    </w:rPr>
  </w:style>
  <w:style w:type="paragraph" w:styleId="Caption">
    <w:name w:val="caption"/>
    <w:basedOn w:val="Normal"/>
    <w:next w:val="Normal"/>
    <w:rsid w:val="009017A0"/>
    <w:pPr>
      <w:pBdr>
        <w:bottom w:val="double" w:sz="6" w:space="0" w:color="auto"/>
        <w:between w:val="double" w:sz="6" w:space="0" w:color="auto"/>
      </w:pBdr>
      <w:spacing w:line="240" w:lineRule="auto"/>
      <w:outlineLvl w:val="0"/>
    </w:pPr>
    <w:rPr>
      <w:b/>
      <w:sz w:val="28"/>
      <w:szCs w:val="20"/>
    </w:rPr>
  </w:style>
  <w:style w:type="paragraph" w:customStyle="1" w:styleId="StyleArialBoldBoldAllcapsBefore3ptAfter12ptLin">
    <w:name w:val="Style Arial Bold Bold All caps Before:  3 pt After:  12 pt Lin..."/>
    <w:basedOn w:val="Normal"/>
    <w:rsid w:val="009017A0"/>
    <w:pPr>
      <w:spacing w:before="60" w:after="240"/>
    </w:pPr>
    <w:rPr>
      <w:rFonts w:ascii="Arial Bold" w:hAnsi="Arial Bold"/>
      <w:b/>
      <w:bCs/>
      <w:caps/>
      <w:szCs w:val="20"/>
    </w:rPr>
  </w:style>
  <w:style w:type="character" w:styleId="FootnoteReference">
    <w:name w:val="footnote reference"/>
    <w:basedOn w:val="DefaultParagraphFont"/>
    <w:semiHidden/>
    <w:rsid w:val="009017A0"/>
    <w:rPr>
      <w:vertAlign w:val="superscript"/>
    </w:rPr>
  </w:style>
  <w:style w:type="paragraph" w:styleId="ListParagraph">
    <w:name w:val="List Paragraph"/>
    <w:basedOn w:val="Normal"/>
    <w:uiPriority w:val="34"/>
    <w:qFormat/>
    <w:rsid w:val="00640F92"/>
    <w:pPr>
      <w:ind w:left="720"/>
      <w:contextualSpacing/>
    </w:pPr>
    <w:rPr>
      <w:szCs w:val="20"/>
    </w:rPr>
  </w:style>
  <w:style w:type="paragraph" w:styleId="NormalWeb">
    <w:name w:val="Normal (Web)"/>
    <w:basedOn w:val="Normal"/>
    <w:uiPriority w:val="99"/>
    <w:semiHidden/>
    <w:unhideWhenUsed/>
    <w:rsid w:val="00CF779D"/>
  </w:style>
  <w:style w:type="paragraph" w:customStyle="1" w:styleId="MainHeader">
    <w:name w:val="Main Header"/>
    <w:rsid w:val="00A90FA0"/>
    <w:pPr>
      <w:pBdr>
        <w:bottom w:val="single" w:sz="6" w:space="1" w:color="005293"/>
      </w:pBdr>
    </w:pPr>
    <w:rPr>
      <w:rFonts w:ascii="Arial Narrow" w:hAnsi="Arial Narrow"/>
      <w:b/>
      <w:caps/>
      <w:color w:val="005293"/>
      <w:sz w:val="28"/>
      <w:szCs w:val="28"/>
    </w:rPr>
  </w:style>
  <w:style w:type="paragraph" w:customStyle="1" w:styleId="Subhead1">
    <w:name w:val="Subhead 1"/>
    <w:basedOn w:val="Heading2"/>
    <w:rsid w:val="00A90FA0"/>
    <w:pPr>
      <w:tabs>
        <w:tab w:val="left" w:pos="360"/>
      </w:tabs>
      <w:spacing w:before="0" w:after="60"/>
    </w:pPr>
    <w:rPr>
      <w:szCs w:val="22"/>
    </w:rPr>
  </w:style>
  <w:style w:type="paragraph" w:customStyle="1" w:styleId="AppendixL3">
    <w:name w:val="Appendix L3"/>
    <w:basedOn w:val="Subhead1"/>
    <w:qFormat/>
    <w:rsid w:val="00B77D40"/>
    <w:pPr>
      <w:tabs>
        <w:tab w:val="clear" w:pos="360"/>
      </w:tabs>
      <w:spacing w:line="360" w:lineRule="auto"/>
      <w:ind w:left="0" w:firstLine="0"/>
    </w:pPr>
    <w:rPr>
      <w:caps w:val="0"/>
    </w:rPr>
  </w:style>
  <w:style w:type="paragraph" w:customStyle="1" w:styleId="Subhead3">
    <w:name w:val="Subhead 3"/>
    <w:basedOn w:val="AppendixL3"/>
    <w:qFormat/>
    <w:rsid w:val="00A90FA0"/>
    <w:pPr>
      <w:ind w:left="288"/>
    </w:pPr>
    <w:rPr>
      <w:color w:val="000000"/>
    </w:rPr>
  </w:style>
  <w:style w:type="paragraph" w:customStyle="1" w:styleId="BodyTextTimesNewRoman">
    <w:name w:val="Body Text Times New Roman"/>
    <w:basedOn w:val="Normal"/>
    <w:autoRedefine/>
    <w:qFormat/>
    <w:rsid w:val="000E77F0"/>
    <w:rPr>
      <w:szCs w:val="22"/>
    </w:rPr>
  </w:style>
  <w:style w:type="paragraph" w:customStyle="1" w:styleId="TOC">
    <w:name w:val="TOC"/>
    <w:basedOn w:val="Normal"/>
    <w:link w:val="TOCChar"/>
    <w:qFormat/>
    <w:rsid w:val="00606D79"/>
    <w:pPr>
      <w:pBdr>
        <w:bottom w:val="single" w:sz="4" w:space="1" w:color="005293"/>
      </w:pBdr>
      <w:spacing w:after="360" w:line="240" w:lineRule="auto"/>
    </w:pPr>
    <w:rPr>
      <w:rFonts w:ascii="Arial Narrow" w:hAnsi="Arial Narrow"/>
      <w:b/>
      <w:bCs/>
      <w:caps/>
      <w:color w:val="005293"/>
      <w:sz w:val="28"/>
      <w:szCs w:val="28"/>
    </w:rPr>
  </w:style>
  <w:style w:type="character" w:customStyle="1" w:styleId="TOCChar">
    <w:name w:val="TOC Char"/>
    <w:basedOn w:val="DefaultParagraphFont"/>
    <w:link w:val="TOC"/>
    <w:rsid w:val="00606D79"/>
    <w:rPr>
      <w:rFonts w:ascii="Arial Narrow" w:eastAsia="Times New Roman" w:hAnsi="Arial Narrow"/>
      <w:b/>
      <w:bCs/>
      <w:caps/>
      <w:color w:val="005293"/>
      <w:sz w:val="28"/>
      <w:szCs w:val="28"/>
    </w:rPr>
  </w:style>
  <w:style w:type="paragraph" w:customStyle="1" w:styleId="TOCAppendixTableAbrrevListHead">
    <w:name w:val="TOC Appendix/Table/Abrrev List Head"/>
    <w:basedOn w:val="Normal"/>
    <w:link w:val="TOCAppendixTableAbrrevListHeadChar"/>
    <w:qFormat/>
    <w:rsid w:val="00EF0D8B"/>
    <w:pPr>
      <w:keepNext/>
      <w:tabs>
        <w:tab w:val="left" w:pos="660"/>
        <w:tab w:val="left" w:pos="8280"/>
      </w:tabs>
      <w:spacing w:after="120" w:line="240" w:lineRule="auto"/>
    </w:pPr>
    <w:rPr>
      <w:rFonts w:ascii="Arial Narrow" w:hAnsi="Arial Narrow"/>
      <w:b/>
      <w:caps/>
      <w:color w:val="005293"/>
      <w:szCs w:val="22"/>
    </w:rPr>
  </w:style>
  <w:style w:type="character" w:customStyle="1" w:styleId="TOCAppendixTableAbrrevListHeadChar">
    <w:name w:val="TOC Appendix/Table/Abrrev List Head Char"/>
    <w:basedOn w:val="DefaultParagraphFont"/>
    <w:link w:val="TOCAppendixTableAbrrevListHead"/>
    <w:rsid w:val="00EF0D8B"/>
    <w:rPr>
      <w:rFonts w:ascii="Arial Narrow" w:eastAsia="Times New Roman" w:hAnsi="Arial Narrow"/>
      <w:b/>
      <w:caps/>
      <w:color w:val="005293"/>
      <w:sz w:val="24"/>
      <w:szCs w:val="22"/>
    </w:rPr>
  </w:style>
  <w:style w:type="character" w:customStyle="1" w:styleId="TOCListItem">
    <w:name w:val="TOC List Item"/>
    <w:basedOn w:val="DefaultParagraphFont"/>
    <w:uiPriority w:val="1"/>
    <w:qFormat/>
    <w:rsid w:val="00BF7981"/>
    <w:rPr>
      <w:rFonts w:ascii="Arial Narrow" w:hAnsi="Arial Narrow"/>
      <w:b/>
      <w:bCs/>
      <w:color w:val="006B65"/>
      <w:sz w:val="22"/>
      <w:szCs w:val="22"/>
    </w:rPr>
  </w:style>
  <w:style w:type="character" w:customStyle="1" w:styleId="TOCListItem2">
    <w:name w:val="TOC List Item 2"/>
    <w:basedOn w:val="DefaultParagraphFont"/>
    <w:uiPriority w:val="1"/>
    <w:qFormat/>
    <w:rsid w:val="007C2EEA"/>
    <w:rPr>
      <w:rFonts w:ascii="Arial Narrow" w:hAnsi="Arial Narrow"/>
      <w:bCs/>
      <w:sz w:val="22"/>
      <w:szCs w:val="22"/>
    </w:rPr>
  </w:style>
  <w:style w:type="character" w:customStyle="1" w:styleId="TableNumber">
    <w:name w:val="Table Number"/>
    <w:basedOn w:val="DefaultParagraphFont"/>
    <w:uiPriority w:val="1"/>
    <w:rsid w:val="00DA2D1D"/>
    <w:rPr>
      <w:rFonts w:ascii="Arial Narrow" w:eastAsia="Times New Roman" w:hAnsi="Arial Narrow"/>
      <w:b/>
      <w:caps/>
      <w:color w:val="005293"/>
      <w:sz w:val="22"/>
      <w:szCs w:val="22"/>
    </w:rPr>
  </w:style>
  <w:style w:type="character" w:customStyle="1" w:styleId="TableTitle2">
    <w:name w:val="Table Title 2"/>
    <w:basedOn w:val="DefaultParagraphFont"/>
    <w:uiPriority w:val="1"/>
    <w:rsid w:val="00DA2D1D"/>
    <w:rPr>
      <w:rFonts w:ascii="Arial Narrow" w:eastAsia="Times New Roman" w:hAnsi="Arial Narrow"/>
      <w:color w:val="005293"/>
      <w:sz w:val="22"/>
      <w:szCs w:val="22"/>
    </w:rPr>
  </w:style>
  <w:style w:type="character" w:customStyle="1" w:styleId="FigureCaption">
    <w:name w:val="Figure Caption"/>
    <w:basedOn w:val="DefaultParagraphFont"/>
    <w:uiPriority w:val="1"/>
    <w:qFormat/>
    <w:rsid w:val="002D05E8"/>
    <w:rPr>
      <w:rFonts w:ascii="Arial Narrow" w:hAnsi="Arial Narrow"/>
      <w:color w:val="005293"/>
      <w:sz w:val="20"/>
    </w:rPr>
  </w:style>
  <w:style w:type="character" w:customStyle="1" w:styleId="FigureNumber">
    <w:name w:val="Figure Number"/>
    <w:basedOn w:val="DefaultParagraphFont"/>
    <w:uiPriority w:val="1"/>
    <w:qFormat/>
    <w:rsid w:val="00134BC1"/>
    <w:rPr>
      <w:rFonts w:ascii="Arial Narrow" w:hAnsi="Arial Narrow"/>
      <w:b/>
      <w:color w:val="005293"/>
      <w:sz w:val="20"/>
    </w:rPr>
  </w:style>
  <w:style w:type="paragraph" w:styleId="ListBullet">
    <w:name w:val="List Bullet"/>
    <w:basedOn w:val="Normal"/>
    <w:uiPriority w:val="99"/>
    <w:unhideWhenUsed/>
    <w:qFormat/>
    <w:rsid w:val="0060201D"/>
    <w:pPr>
      <w:numPr>
        <w:numId w:val="5"/>
      </w:numPr>
    </w:pPr>
  </w:style>
  <w:style w:type="paragraph" w:styleId="ListContinue">
    <w:name w:val="List Continue"/>
    <w:basedOn w:val="Normal"/>
    <w:uiPriority w:val="99"/>
    <w:unhideWhenUsed/>
    <w:rsid w:val="002215A2"/>
    <w:pPr>
      <w:spacing w:after="120"/>
      <w:ind w:left="360"/>
      <w:contextualSpacing/>
    </w:pPr>
  </w:style>
  <w:style w:type="paragraph" w:styleId="ListBullet2">
    <w:name w:val="List Bullet 2"/>
    <w:basedOn w:val="BodyText"/>
    <w:uiPriority w:val="99"/>
    <w:unhideWhenUsed/>
    <w:qFormat/>
    <w:rsid w:val="0060201D"/>
    <w:pPr>
      <w:numPr>
        <w:numId w:val="9"/>
      </w:numPr>
      <w:contextualSpacing/>
    </w:pPr>
    <w:rPr>
      <w:i w:val="0"/>
    </w:rPr>
  </w:style>
  <w:style w:type="paragraph" w:customStyle="1" w:styleId="AppendixCoverSheet">
    <w:name w:val="Appendix Cover Sheet"/>
    <w:qFormat/>
    <w:rsid w:val="00947F45"/>
    <w:pPr>
      <w:jc w:val="center"/>
    </w:pPr>
    <w:rPr>
      <w:rFonts w:ascii="Arial Narrow" w:hAnsi="Arial Narrow"/>
      <w:b/>
      <w:color w:val="005293"/>
      <w:sz w:val="28"/>
      <w:szCs w:val="28"/>
    </w:rPr>
  </w:style>
  <w:style w:type="paragraph" w:customStyle="1" w:styleId="FooterText">
    <w:name w:val="Footer Text"/>
    <w:basedOn w:val="Footer"/>
    <w:link w:val="FooterTextChar"/>
    <w:rsid w:val="00EF3DAE"/>
    <w:pPr>
      <w:tabs>
        <w:tab w:val="clear" w:pos="4320"/>
        <w:tab w:val="clear" w:pos="8640"/>
        <w:tab w:val="center" w:pos="4680"/>
        <w:tab w:val="right" w:pos="9360"/>
      </w:tabs>
      <w:spacing w:line="240" w:lineRule="auto"/>
      <w:jc w:val="right"/>
    </w:pPr>
    <w:rPr>
      <w:rFonts w:ascii="Arial Narrow" w:hAnsi="Arial Narrow"/>
      <w:color w:val="005293"/>
      <w:sz w:val="18"/>
      <w:szCs w:val="18"/>
    </w:rPr>
  </w:style>
  <w:style w:type="character" w:customStyle="1" w:styleId="FooterTextChar">
    <w:name w:val="Footer Text Char"/>
    <w:basedOn w:val="FooterChar"/>
    <w:link w:val="FooterText"/>
    <w:rsid w:val="00EF3DAE"/>
    <w:rPr>
      <w:rFonts w:ascii="Arial Narrow" w:eastAsia="Times New Roman" w:hAnsi="Arial Narrow" w:cs="Times New Roman"/>
      <w:color w:val="005293"/>
      <w:sz w:val="18"/>
      <w:szCs w:val="18"/>
    </w:rPr>
  </w:style>
  <w:style w:type="character" w:customStyle="1" w:styleId="Footertext0">
    <w:name w:val="Footer text"/>
    <w:basedOn w:val="FooterTextChar"/>
    <w:uiPriority w:val="1"/>
    <w:qFormat/>
    <w:rsid w:val="00EF3DAE"/>
    <w:rPr>
      <w:rFonts w:ascii="Arial Narrow" w:eastAsia="Times New Roman" w:hAnsi="Arial Narrow" w:cs="Times New Roman"/>
      <w:color w:val="005293"/>
      <w:sz w:val="18"/>
      <w:szCs w:val="18"/>
    </w:rPr>
  </w:style>
  <w:style w:type="character" w:customStyle="1" w:styleId="FooterPage">
    <w:name w:val="Footer Page #"/>
    <w:basedOn w:val="DefaultParagraphFont"/>
    <w:uiPriority w:val="1"/>
    <w:qFormat/>
    <w:rsid w:val="00EF3DAE"/>
    <w:rPr>
      <w:rFonts w:ascii="Arial Narrow" w:eastAsia="Times New Roman" w:hAnsi="Arial Narrow" w:cs="Times New Roman"/>
      <w:b/>
      <w:color w:val="005293"/>
      <w:sz w:val="21"/>
      <w:szCs w:val="21"/>
    </w:rPr>
  </w:style>
  <w:style w:type="table" w:styleId="TableGrid">
    <w:name w:val="Table Grid"/>
    <w:basedOn w:val="TableNormal"/>
    <w:uiPriority w:val="59"/>
    <w:rsid w:val="00564D1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0E77F0"/>
    <w:pPr>
      <w:spacing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0E77F0"/>
    <w:rPr>
      <w:rFonts w:ascii="Consolas" w:eastAsia="Calibri" w:hAnsi="Consolas" w:cs="Times New Roman"/>
      <w:sz w:val="21"/>
      <w:szCs w:val="21"/>
    </w:rPr>
  </w:style>
  <w:style w:type="paragraph" w:styleId="TOCHeading">
    <w:name w:val="TOC Heading"/>
    <w:basedOn w:val="Heading1"/>
    <w:next w:val="Normal"/>
    <w:uiPriority w:val="39"/>
    <w:semiHidden/>
    <w:unhideWhenUsed/>
    <w:qFormat/>
    <w:rsid w:val="00145368"/>
    <w:pPr>
      <w:pBdr>
        <w:bottom w:val="none" w:sz="0" w:space="0" w:color="auto"/>
      </w:pBdr>
      <w:spacing w:before="480" w:after="0" w:line="276" w:lineRule="auto"/>
      <w:ind w:left="0" w:firstLine="0"/>
      <w:outlineLvl w:val="9"/>
    </w:pPr>
    <w:rPr>
      <w:rFonts w:ascii="Cambria" w:hAnsi="Cambria"/>
      <w:caps w:val="0"/>
      <w:color w:val="365F91"/>
    </w:rPr>
  </w:style>
  <w:style w:type="paragraph" w:customStyle="1" w:styleId="TableTitle">
    <w:name w:val="Table Title"/>
    <w:basedOn w:val="PlainText"/>
    <w:autoRedefine/>
    <w:qFormat/>
    <w:rsid w:val="00496C0B"/>
    <w:pPr>
      <w:spacing w:before="120" w:after="120"/>
      <w:ind w:left="1051" w:hanging="1051"/>
    </w:pPr>
    <w:rPr>
      <w:rFonts w:ascii="Arial Narrow" w:hAnsi="Arial Narrow"/>
      <w:color w:val="005293"/>
      <w:sz w:val="22"/>
    </w:rPr>
  </w:style>
  <w:style w:type="paragraph" w:customStyle="1" w:styleId="note">
    <w:name w:val="note"/>
    <w:basedOn w:val="Normal"/>
    <w:rsid w:val="00940978"/>
    <w:pPr>
      <w:spacing w:before="200" w:after="100" w:afterAutospacing="1" w:line="240" w:lineRule="auto"/>
      <w:ind w:firstLine="480"/>
    </w:pPr>
    <w:rPr>
      <w:sz w:val="18"/>
      <w:szCs w:val="18"/>
    </w:rPr>
  </w:style>
  <w:style w:type="character" w:customStyle="1" w:styleId="st1">
    <w:name w:val="st1"/>
    <w:basedOn w:val="DefaultParagraphFont"/>
    <w:rsid w:val="000F1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50287">
      <w:bodyDiv w:val="1"/>
      <w:marLeft w:val="0"/>
      <w:marRight w:val="0"/>
      <w:marTop w:val="30"/>
      <w:marBottom w:val="750"/>
      <w:divBdr>
        <w:top w:val="none" w:sz="0" w:space="0" w:color="auto"/>
        <w:left w:val="none" w:sz="0" w:space="0" w:color="auto"/>
        <w:bottom w:val="none" w:sz="0" w:space="0" w:color="auto"/>
        <w:right w:val="none" w:sz="0" w:space="0" w:color="auto"/>
      </w:divBdr>
      <w:divsChild>
        <w:div w:id="836267269">
          <w:marLeft w:val="0"/>
          <w:marRight w:val="0"/>
          <w:marTop w:val="0"/>
          <w:marBottom w:val="0"/>
          <w:divBdr>
            <w:top w:val="none" w:sz="0" w:space="0" w:color="auto"/>
            <w:left w:val="none" w:sz="0" w:space="0" w:color="auto"/>
            <w:bottom w:val="none" w:sz="0" w:space="0" w:color="auto"/>
            <w:right w:val="none" w:sz="0" w:space="0" w:color="auto"/>
          </w:divBdr>
        </w:div>
      </w:divsChild>
    </w:div>
    <w:div w:id="288706666">
      <w:bodyDiv w:val="1"/>
      <w:marLeft w:val="0"/>
      <w:marRight w:val="0"/>
      <w:marTop w:val="30"/>
      <w:marBottom w:val="750"/>
      <w:divBdr>
        <w:top w:val="none" w:sz="0" w:space="0" w:color="auto"/>
        <w:left w:val="none" w:sz="0" w:space="0" w:color="auto"/>
        <w:bottom w:val="none" w:sz="0" w:space="0" w:color="auto"/>
        <w:right w:val="none" w:sz="0" w:space="0" w:color="auto"/>
      </w:divBdr>
      <w:divsChild>
        <w:div w:id="571965236">
          <w:marLeft w:val="0"/>
          <w:marRight w:val="0"/>
          <w:marTop w:val="0"/>
          <w:marBottom w:val="0"/>
          <w:divBdr>
            <w:top w:val="none" w:sz="0" w:space="0" w:color="auto"/>
            <w:left w:val="none" w:sz="0" w:space="0" w:color="auto"/>
            <w:bottom w:val="none" w:sz="0" w:space="0" w:color="auto"/>
            <w:right w:val="none" w:sz="0" w:space="0" w:color="auto"/>
          </w:divBdr>
        </w:div>
      </w:divsChild>
    </w:div>
    <w:div w:id="417865866">
      <w:bodyDiv w:val="1"/>
      <w:marLeft w:val="0"/>
      <w:marRight w:val="0"/>
      <w:marTop w:val="0"/>
      <w:marBottom w:val="0"/>
      <w:divBdr>
        <w:top w:val="none" w:sz="0" w:space="0" w:color="auto"/>
        <w:left w:val="none" w:sz="0" w:space="0" w:color="auto"/>
        <w:bottom w:val="none" w:sz="0" w:space="0" w:color="auto"/>
        <w:right w:val="none" w:sz="0" w:space="0" w:color="auto"/>
      </w:divBdr>
    </w:div>
    <w:div w:id="719747281">
      <w:bodyDiv w:val="1"/>
      <w:marLeft w:val="0"/>
      <w:marRight w:val="0"/>
      <w:marTop w:val="30"/>
      <w:marBottom w:val="750"/>
      <w:divBdr>
        <w:top w:val="none" w:sz="0" w:space="0" w:color="auto"/>
        <w:left w:val="none" w:sz="0" w:space="0" w:color="auto"/>
        <w:bottom w:val="none" w:sz="0" w:space="0" w:color="auto"/>
        <w:right w:val="none" w:sz="0" w:space="0" w:color="auto"/>
      </w:divBdr>
      <w:divsChild>
        <w:div w:id="1576696862">
          <w:marLeft w:val="0"/>
          <w:marRight w:val="0"/>
          <w:marTop w:val="0"/>
          <w:marBottom w:val="0"/>
          <w:divBdr>
            <w:top w:val="none" w:sz="0" w:space="0" w:color="auto"/>
            <w:left w:val="none" w:sz="0" w:space="0" w:color="auto"/>
            <w:bottom w:val="none" w:sz="0" w:space="0" w:color="auto"/>
            <w:right w:val="none" w:sz="0" w:space="0" w:color="auto"/>
          </w:divBdr>
        </w:div>
      </w:divsChild>
    </w:div>
    <w:div w:id="824204418">
      <w:bodyDiv w:val="1"/>
      <w:marLeft w:val="0"/>
      <w:marRight w:val="0"/>
      <w:marTop w:val="30"/>
      <w:marBottom w:val="750"/>
      <w:divBdr>
        <w:top w:val="none" w:sz="0" w:space="0" w:color="auto"/>
        <w:left w:val="none" w:sz="0" w:space="0" w:color="auto"/>
        <w:bottom w:val="none" w:sz="0" w:space="0" w:color="auto"/>
        <w:right w:val="none" w:sz="0" w:space="0" w:color="auto"/>
      </w:divBdr>
      <w:divsChild>
        <w:div w:id="508250672">
          <w:marLeft w:val="0"/>
          <w:marRight w:val="0"/>
          <w:marTop w:val="0"/>
          <w:marBottom w:val="0"/>
          <w:divBdr>
            <w:top w:val="none" w:sz="0" w:space="0" w:color="auto"/>
            <w:left w:val="none" w:sz="0" w:space="0" w:color="auto"/>
            <w:bottom w:val="none" w:sz="0" w:space="0" w:color="auto"/>
            <w:right w:val="none" w:sz="0" w:space="0" w:color="auto"/>
          </w:divBdr>
        </w:div>
      </w:divsChild>
    </w:div>
    <w:div w:id="1178733097">
      <w:bodyDiv w:val="1"/>
      <w:marLeft w:val="0"/>
      <w:marRight w:val="0"/>
      <w:marTop w:val="0"/>
      <w:marBottom w:val="0"/>
      <w:divBdr>
        <w:top w:val="none" w:sz="0" w:space="0" w:color="auto"/>
        <w:left w:val="none" w:sz="0" w:space="0" w:color="auto"/>
        <w:bottom w:val="none" w:sz="0" w:space="0" w:color="auto"/>
        <w:right w:val="none" w:sz="0" w:space="0" w:color="auto"/>
      </w:divBdr>
    </w:div>
    <w:div w:id="1346901582">
      <w:bodyDiv w:val="1"/>
      <w:marLeft w:val="0"/>
      <w:marRight w:val="0"/>
      <w:marTop w:val="30"/>
      <w:marBottom w:val="750"/>
      <w:divBdr>
        <w:top w:val="none" w:sz="0" w:space="0" w:color="auto"/>
        <w:left w:val="none" w:sz="0" w:space="0" w:color="auto"/>
        <w:bottom w:val="none" w:sz="0" w:space="0" w:color="auto"/>
        <w:right w:val="none" w:sz="0" w:space="0" w:color="auto"/>
      </w:divBdr>
      <w:divsChild>
        <w:div w:id="154028856">
          <w:marLeft w:val="0"/>
          <w:marRight w:val="0"/>
          <w:marTop w:val="0"/>
          <w:marBottom w:val="0"/>
          <w:divBdr>
            <w:top w:val="none" w:sz="0" w:space="0" w:color="auto"/>
            <w:left w:val="none" w:sz="0" w:space="0" w:color="auto"/>
            <w:bottom w:val="none" w:sz="0" w:space="0" w:color="auto"/>
            <w:right w:val="none" w:sz="0" w:space="0" w:color="auto"/>
          </w:divBdr>
        </w:div>
      </w:divsChild>
    </w:div>
    <w:div w:id="1347513710">
      <w:bodyDiv w:val="1"/>
      <w:marLeft w:val="0"/>
      <w:marRight w:val="0"/>
      <w:marTop w:val="0"/>
      <w:marBottom w:val="0"/>
      <w:divBdr>
        <w:top w:val="none" w:sz="0" w:space="0" w:color="auto"/>
        <w:left w:val="none" w:sz="0" w:space="0" w:color="auto"/>
        <w:bottom w:val="none" w:sz="0" w:space="0" w:color="auto"/>
        <w:right w:val="none" w:sz="0" w:space="0" w:color="auto"/>
      </w:divBdr>
      <w:divsChild>
        <w:div w:id="550579355">
          <w:marLeft w:val="-5025"/>
          <w:marRight w:val="0"/>
          <w:marTop w:val="0"/>
          <w:marBottom w:val="0"/>
          <w:divBdr>
            <w:top w:val="none" w:sz="0" w:space="0" w:color="auto"/>
            <w:left w:val="none" w:sz="0" w:space="0" w:color="auto"/>
            <w:bottom w:val="none" w:sz="0" w:space="0" w:color="auto"/>
            <w:right w:val="none" w:sz="0" w:space="0" w:color="auto"/>
          </w:divBdr>
          <w:divsChild>
            <w:div w:id="3769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0778">
      <w:bodyDiv w:val="1"/>
      <w:marLeft w:val="0"/>
      <w:marRight w:val="0"/>
      <w:marTop w:val="0"/>
      <w:marBottom w:val="0"/>
      <w:divBdr>
        <w:top w:val="none" w:sz="0" w:space="0" w:color="auto"/>
        <w:left w:val="none" w:sz="0" w:space="0" w:color="auto"/>
        <w:bottom w:val="none" w:sz="0" w:space="0" w:color="auto"/>
        <w:right w:val="none" w:sz="0" w:space="0" w:color="auto"/>
      </w:divBdr>
    </w:div>
    <w:div w:id="1516649460">
      <w:bodyDiv w:val="1"/>
      <w:marLeft w:val="0"/>
      <w:marRight w:val="0"/>
      <w:marTop w:val="0"/>
      <w:marBottom w:val="0"/>
      <w:divBdr>
        <w:top w:val="none" w:sz="0" w:space="0" w:color="auto"/>
        <w:left w:val="none" w:sz="0" w:space="0" w:color="auto"/>
        <w:bottom w:val="none" w:sz="0" w:space="0" w:color="auto"/>
        <w:right w:val="none" w:sz="0" w:space="0" w:color="auto"/>
      </w:divBdr>
    </w:div>
    <w:div w:id="1632784353">
      <w:bodyDiv w:val="1"/>
      <w:marLeft w:val="0"/>
      <w:marRight w:val="0"/>
      <w:marTop w:val="0"/>
      <w:marBottom w:val="0"/>
      <w:divBdr>
        <w:top w:val="none" w:sz="0" w:space="0" w:color="auto"/>
        <w:left w:val="none" w:sz="0" w:space="0" w:color="auto"/>
        <w:bottom w:val="none" w:sz="0" w:space="0" w:color="auto"/>
        <w:right w:val="none" w:sz="0" w:space="0" w:color="auto"/>
      </w:divBdr>
    </w:div>
    <w:div w:id="1783458799">
      <w:bodyDiv w:val="1"/>
      <w:marLeft w:val="0"/>
      <w:marRight w:val="0"/>
      <w:marTop w:val="0"/>
      <w:marBottom w:val="0"/>
      <w:divBdr>
        <w:top w:val="none" w:sz="0" w:space="0" w:color="auto"/>
        <w:left w:val="none" w:sz="0" w:space="0" w:color="auto"/>
        <w:bottom w:val="none" w:sz="0" w:space="0" w:color="auto"/>
        <w:right w:val="none" w:sz="0" w:space="0" w:color="auto"/>
      </w:divBdr>
    </w:div>
    <w:div w:id="1800995281">
      <w:bodyDiv w:val="1"/>
      <w:marLeft w:val="0"/>
      <w:marRight w:val="0"/>
      <w:marTop w:val="0"/>
      <w:marBottom w:val="0"/>
      <w:divBdr>
        <w:top w:val="none" w:sz="0" w:space="0" w:color="auto"/>
        <w:left w:val="none" w:sz="0" w:space="0" w:color="auto"/>
        <w:bottom w:val="none" w:sz="0" w:space="0" w:color="auto"/>
        <w:right w:val="none" w:sz="0" w:space="0" w:color="auto"/>
      </w:divBdr>
    </w:div>
    <w:div w:id="1947613744">
      <w:bodyDiv w:val="1"/>
      <w:marLeft w:val="0"/>
      <w:marRight w:val="0"/>
      <w:marTop w:val="0"/>
      <w:marBottom w:val="0"/>
      <w:divBdr>
        <w:top w:val="none" w:sz="0" w:space="0" w:color="auto"/>
        <w:left w:val="none" w:sz="0" w:space="0" w:color="auto"/>
        <w:bottom w:val="none" w:sz="0" w:space="0" w:color="auto"/>
        <w:right w:val="none" w:sz="0" w:space="0" w:color="auto"/>
      </w:divBdr>
    </w:div>
    <w:div w:id="198862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C8F57-3D34-4D27-AADB-5FB5F1C3D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1910</Words>
  <Characters>10890</Characters>
  <Application>Microsoft Office Word</Application>
  <DocSecurity>0</DocSecurity>
  <Lines>90</Lines>
  <Paragraphs>25</Paragraphs>
  <ScaleCrop>false</ScaleCrop>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2015-12-14T20:59:00Z</dcterms:created>
  <dcterms:modified xsi:type="dcterms:W3CDTF">2019-06-07T15:03:00Z</dcterms:modified>
</cp:coreProperties>
</file>